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2E" w:rsidRDefault="0023382E" w:rsidP="0023382E"/>
    <w:p w:rsidR="00B80DDB" w:rsidRPr="00C96F20" w:rsidRDefault="00B80DDB" w:rsidP="00B80DDB">
      <w:pPr>
        <w:jc w:val="right"/>
        <w:rPr>
          <w:rFonts w:eastAsia="Batang"/>
        </w:rPr>
      </w:pPr>
      <w:r>
        <w:rPr>
          <w:rFonts w:eastAsia="Batang"/>
        </w:rPr>
        <w:t>27</w:t>
      </w:r>
      <w:r w:rsidRPr="00C96F20">
        <w:rPr>
          <w:rFonts w:eastAsia="Batang"/>
        </w:rPr>
        <w:t>.pielikums</w:t>
      </w:r>
    </w:p>
    <w:p w:rsidR="00B80DDB" w:rsidRPr="00C96F20" w:rsidRDefault="00B80DDB" w:rsidP="00B80DDB">
      <w:pPr>
        <w:jc w:val="right"/>
        <w:rPr>
          <w:rFonts w:eastAsia="Batang"/>
        </w:rPr>
      </w:pPr>
      <w:r w:rsidRPr="00C96F20">
        <w:rPr>
          <w:rFonts w:eastAsia="Batang"/>
        </w:rPr>
        <w:t>Priekules novada pašvaldības domes</w:t>
      </w:r>
    </w:p>
    <w:p w:rsidR="00B80DDB" w:rsidRPr="00C96F20" w:rsidRDefault="00B80DDB" w:rsidP="00B80DDB">
      <w:pPr>
        <w:jc w:val="right"/>
        <w:rPr>
          <w:rFonts w:eastAsia="Batang"/>
        </w:rPr>
      </w:pPr>
      <w:r w:rsidRPr="00C96F20">
        <w:rPr>
          <w:rFonts w:eastAsia="Batang"/>
        </w:rPr>
        <w:t>2015.gada 24.sep</w:t>
      </w:r>
      <w:r>
        <w:rPr>
          <w:rFonts w:eastAsia="Batang"/>
        </w:rPr>
        <w:t>tembra sēdes protokolam Nr.14,2</w:t>
      </w:r>
      <w:r>
        <w:rPr>
          <w:rFonts w:eastAsia="Batang"/>
        </w:rPr>
        <w:t>7</w:t>
      </w:r>
      <w:r w:rsidRPr="00C96F20">
        <w:rPr>
          <w:rFonts w:eastAsia="Batang"/>
        </w:rPr>
        <w:t>.§</w:t>
      </w:r>
    </w:p>
    <w:p w:rsidR="0023382E" w:rsidRPr="008755BF" w:rsidRDefault="0023382E" w:rsidP="0023382E">
      <w:pPr>
        <w:jc w:val="center"/>
        <w:rPr>
          <w:rFonts w:eastAsia="Batang"/>
        </w:rPr>
      </w:pPr>
      <w:r w:rsidRPr="008726B9">
        <w:rPr>
          <w:rFonts w:eastAsia="Batang"/>
          <w:noProof/>
        </w:rPr>
        <w:drawing>
          <wp:inline distT="0" distB="0" distL="0" distR="0" wp14:anchorId="189651D6" wp14:editId="59CE3729">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23382E" w:rsidRPr="008755BF" w:rsidRDefault="0023382E" w:rsidP="0023382E">
      <w:pPr>
        <w:jc w:val="center"/>
        <w:rPr>
          <w:rFonts w:eastAsia="Batang"/>
          <w:b/>
        </w:rPr>
      </w:pPr>
      <w:r w:rsidRPr="008755BF">
        <w:rPr>
          <w:rFonts w:eastAsia="Batang"/>
          <w:b/>
        </w:rPr>
        <w:t>LATVIJAS REPUBLIKA</w:t>
      </w:r>
    </w:p>
    <w:p w:rsidR="0023382E" w:rsidRPr="008755BF" w:rsidRDefault="0023382E" w:rsidP="0023382E">
      <w:pPr>
        <w:pStyle w:val="Virsraksts1"/>
        <w:pBdr>
          <w:bottom w:val="double" w:sz="4" w:space="1" w:color="auto"/>
        </w:pBdr>
        <w:spacing w:before="0" w:after="0" w:line="240" w:lineRule="auto"/>
        <w:jc w:val="center"/>
        <w:rPr>
          <w:rFonts w:ascii="Times New Roman" w:eastAsia="Batang" w:hAnsi="Times New Roman" w:cs="Times New Roman"/>
          <w:sz w:val="24"/>
          <w:szCs w:val="24"/>
        </w:rPr>
      </w:pPr>
      <w:r w:rsidRPr="008755BF">
        <w:rPr>
          <w:rFonts w:ascii="Times New Roman" w:eastAsia="Batang" w:hAnsi="Times New Roman" w:cs="Times New Roman"/>
          <w:sz w:val="24"/>
          <w:szCs w:val="24"/>
        </w:rPr>
        <w:t>PRIEKULES NOVADA PAŠVALDĪBAS DOME</w:t>
      </w:r>
    </w:p>
    <w:p w:rsidR="0023382E" w:rsidRPr="008755BF" w:rsidRDefault="0023382E" w:rsidP="0023382E">
      <w:pPr>
        <w:jc w:val="center"/>
        <w:rPr>
          <w:rFonts w:eastAsia="Batang"/>
        </w:rPr>
      </w:pPr>
      <w:r w:rsidRPr="008755BF">
        <w:rPr>
          <w:rFonts w:eastAsia="Batang"/>
        </w:rPr>
        <w:t xml:space="preserve">Reģistrācijas Nr. </w:t>
      </w:r>
      <w:smartTag w:uri="schemas-tilde-lv/tildestengine" w:element="phone">
        <w:smartTagPr>
          <w:attr w:name="phone_number" w:val="0031601"/>
          <w:attr w:name="phone_prefix" w:val="9000"/>
        </w:smartTagPr>
        <w:r w:rsidRPr="008755BF">
          <w:rPr>
            <w:rFonts w:eastAsia="Batang"/>
          </w:rPr>
          <w:t>90000031601</w:t>
        </w:r>
      </w:smartTag>
      <w:r w:rsidRPr="008755BF">
        <w:rPr>
          <w:rFonts w:eastAsia="Batang"/>
        </w:rPr>
        <w:t xml:space="preserve">, Saules iela 1, Priekule, Priekules novads, LV-3434, tālrunis </w:t>
      </w:r>
      <w:smartTag w:uri="schemas-tilde-lv/tildestengine" w:element="phone">
        <w:smartTagPr>
          <w:attr w:name="phone_number" w:val="3461006"/>
          <w:attr w:name="phone_prefix" w:val="6"/>
        </w:smartTagPr>
        <w:r w:rsidRPr="008755BF">
          <w:rPr>
            <w:rFonts w:eastAsia="Batang"/>
          </w:rPr>
          <w:t>63461006</w:t>
        </w:r>
      </w:smartTag>
      <w:r w:rsidRPr="008755BF">
        <w:rPr>
          <w:rFonts w:eastAsia="Batang"/>
        </w:rPr>
        <w:t>, fakss 63497937, e-pasts: dome@priekulesnovads.lv</w:t>
      </w:r>
    </w:p>
    <w:p w:rsidR="0023382E" w:rsidRPr="008755BF" w:rsidRDefault="0023382E" w:rsidP="0023382E">
      <w:pPr>
        <w:jc w:val="center"/>
        <w:rPr>
          <w:rFonts w:eastAsia="Calibri"/>
          <w:b/>
        </w:rPr>
      </w:pPr>
    </w:p>
    <w:p w:rsidR="0023382E" w:rsidRPr="008755BF" w:rsidRDefault="0023382E" w:rsidP="0023382E">
      <w:pPr>
        <w:jc w:val="center"/>
        <w:rPr>
          <w:b/>
        </w:rPr>
      </w:pPr>
      <w:r w:rsidRPr="008755BF">
        <w:rPr>
          <w:b/>
        </w:rPr>
        <w:t>SĒDES  PROTOKOLS</w:t>
      </w:r>
    </w:p>
    <w:p w:rsidR="0023382E" w:rsidRPr="008755BF" w:rsidRDefault="0023382E" w:rsidP="0023382E">
      <w:pPr>
        <w:jc w:val="center"/>
      </w:pPr>
      <w:r w:rsidRPr="008755BF">
        <w:t>Priekules novadā</w:t>
      </w:r>
    </w:p>
    <w:p w:rsidR="0023382E" w:rsidRPr="008755BF" w:rsidRDefault="0023382E" w:rsidP="0023382E">
      <w:pPr>
        <w:jc w:val="center"/>
      </w:pPr>
    </w:p>
    <w:p w:rsidR="0023382E" w:rsidRPr="008755BF" w:rsidRDefault="0023382E" w:rsidP="0023382E">
      <w:pPr>
        <w:jc w:val="center"/>
        <w:rPr>
          <w:b/>
        </w:rPr>
      </w:pPr>
      <w:r w:rsidRPr="008755BF">
        <w:t xml:space="preserve">2015.gada 24.septembrī                     </w:t>
      </w:r>
      <w:r w:rsidRPr="008755BF">
        <w:tab/>
        <w:t xml:space="preserve">                                                                               Nr.14</w:t>
      </w:r>
    </w:p>
    <w:p w:rsidR="00D66568" w:rsidRDefault="00D66568" w:rsidP="00D66568">
      <w:pPr>
        <w:jc w:val="center"/>
        <w:rPr>
          <w:b/>
        </w:rPr>
      </w:pPr>
      <w:r>
        <w:rPr>
          <w:b/>
        </w:rPr>
        <w:t>LĒMUMS</w:t>
      </w:r>
    </w:p>
    <w:p w:rsidR="00D66568" w:rsidRDefault="00D66568" w:rsidP="00D66568">
      <w:pPr>
        <w:jc w:val="center"/>
      </w:pPr>
      <w:r>
        <w:t>Priekulē</w:t>
      </w:r>
    </w:p>
    <w:p w:rsidR="0023382E" w:rsidRPr="008755BF" w:rsidRDefault="0023382E" w:rsidP="0023382E">
      <w:pPr>
        <w:jc w:val="center"/>
        <w:rPr>
          <w:b/>
        </w:rPr>
      </w:pPr>
    </w:p>
    <w:p w:rsidR="003D71FE" w:rsidRPr="00472F90" w:rsidRDefault="0023382E" w:rsidP="003D71FE">
      <w:pPr>
        <w:jc w:val="center"/>
      </w:pPr>
      <w:r>
        <w:rPr>
          <w:b/>
        </w:rPr>
        <w:t>27</w:t>
      </w:r>
      <w:r w:rsidRPr="003801A9">
        <w:rPr>
          <w:b/>
        </w:rPr>
        <w:t>.§</w:t>
      </w:r>
    </w:p>
    <w:p w:rsidR="003D71FE" w:rsidRPr="00472F90" w:rsidRDefault="003D71FE" w:rsidP="003D71FE">
      <w:pPr>
        <w:pBdr>
          <w:bottom w:val="single" w:sz="12" w:space="1" w:color="auto"/>
        </w:pBdr>
        <w:jc w:val="center"/>
        <w:rPr>
          <w:b/>
        </w:rPr>
      </w:pPr>
      <w:r w:rsidRPr="00472F90">
        <w:rPr>
          <w:b/>
        </w:rPr>
        <w:t xml:space="preserve">Par grozījumiem Priekules novada </w:t>
      </w:r>
      <w:r>
        <w:rPr>
          <w:b/>
        </w:rPr>
        <w:t>pašvaldības</w:t>
      </w:r>
      <w:r w:rsidRPr="00472F90">
        <w:rPr>
          <w:b/>
        </w:rPr>
        <w:t xml:space="preserve"> amatu un amatalgu sarakstā </w:t>
      </w:r>
      <w:r>
        <w:rPr>
          <w:b/>
        </w:rPr>
        <w:t>2015.gadam</w:t>
      </w:r>
    </w:p>
    <w:p w:rsidR="003D71FE" w:rsidRDefault="003D71FE" w:rsidP="003D71FE">
      <w:pPr>
        <w:rPr>
          <w:b/>
        </w:rPr>
      </w:pPr>
    </w:p>
    <w:p w:rsidR="003D71FE" w:rsidRDefault="003D71FE" w:rsidP="00977BBF">
      <w:pPr>
        <w:jc w:val="both"/>
      </w:pPr>
      <w:r w:rsidRPr="00472F90">
        <w:tab/>
      </w:r>
      <w:r w:rsidR="00977BBF">
        <w:t xml:space="preserve">Pašvaldībā 2015.gada 28.augustā tika saņemts Virgas pagasta pārvaldes ūdenssaimniecības uzrauga iesniegums ar lūgumu atbrīvot viņu no darba, darba tiesiskās attiecības ar ūdenssaimniecības uzraugu ir izbeigtas. Lai racionālāk un lietderīgāk izlietot finanšu resursus, </w:t>
      </w:r>
      <w:r w:rsidRPr="00C5017A">
        <w:t xml:space="preserve">tiek ierosināts veikt grozījumus Priekules novada pašvaldības amatu un amatalgu sarakstā </w:t>
      </w:r>
      <w:r w:rsidR="00977BBF" w:rsidRPr="00C5017A">
        <w:t xml:space="preserve">Virgas pagasta pārvaldes struktūrvienībā „Pašvaldības teritoriju un mājokļu apsaimniekošana”. </w:t>
      </w:r>
    </w:p>
    <w:p w:rsidR="0023382E" w:rsidRPr="00A45560" w:rsidRDefault="003D71FE" w:rsidP="0023382E">
      <w:pPr>
        <w:suppressAutoHyphens/>
        <w:autoSpaceDN w:val="0"/>
        <w:ind w:firstLine="709"/>
        <w:jc w:val="both"/>
        <w:textAlignment w:val="baseline"/>
      </w:pPr>
      <w:r w:rsidRPr="00472F90">
        <w:t>Pamatojoties uz likuma „Par pašvaldībām” 21.panta pirmās daļas 13.punktu, kas nosaka, ka tikai dome var noteikt domes priekšsēdētāja, viņa vietnieka, pašvaldības administrācijas darbinieku, kā arī pašvaldības iestāžu vadītāj</w:t>
      </w:r>
      <w:r w:rsidR="0023382E">
        <w:t xml:space="preserve">u algu likmes, </w:t>
      </w:r>
      <w:r w:rsidR="0023382E">
        <w:rPr>
          <w:b/>
        </w:rPr>
        <w:t>a</w:t>
      </w:r>
      <w:r w:rsidR="0023382E" w:rsidRPr="00FF6A91">
        <w:rPr>
          <w:b/>
        </w:rPr>
        <w:t>tklāti balsojot</w:t>
      </w:r>
      <w:r w:rsidR="0023382E" w:rsidRPr="00FF6A91">
        <w:t xml:space="preserve"> </w:t>
      </w:r>
      <w:r w:rsidR="0023382E">
        <w:rPr>
          <w:b/>
        </w:rPr>
        <w:t>PAR - 12</w:t>
      </w:r>
      <w:r w:rsidR="0023382E" w:rsidRPr="00FF6A91">
        <w:rPr>
          <w:b/>
        </w:rPr>
        <w:t xml:space="preserve"> </w:t>
      </w:r>
      <w:r w:rsidR="0023382E" w:rsidRPr="00FF6A91">
        <w:t xml:space="preserve">deputāti (Vija </w:t>
      </w:r>
      <w:proofErr w:type="spellStart"/>
      <w:r w:rsidR="0023382E" w:rsidRPr="00FF6A91">
        <w:t>Jablonska</w:t>
      </w:r>
      <w:proofErr w:type="spellEnd"/>
      <w:r w:rsidR="0023382E" w:rsidRPr="00FF6A91">
        <w:t xml:space="preserve">, Inita </w:t>
      </w:r>
      <w:proofErr w:type="spellStart"/>
      <w:r w:rsidR="0023382E" w:rsidRPr="00FF6A91">
        <w:t>Rubeze</w:t>
      </w:r>
      <w:proofErr w:type="spellEnd"/>
      <w:r w:rsidR="0023382E" w:rsidRPr="00FF6A91">
        <w:t xml:space="preserve">, Inese Kuduma, Rigonda </w:t>
      </w:r>
      <w:proofErr w:type="spellStart"/>
      <w:r w:rsidR="0023382E" w:rsidRPr="00FF6A91">
        <w:t>Džeriņa</w:t>
      </w:r>
      <w:proofErr w:type="spellEnd"/>
      <w:r w:rsidR="0023382E" w:rsidRPr="00FF6A91">
        <w:t xml:space="preserve">, </w:t>
      </w:r>
      <w:proofErr w:type="spellStart"/>
      <w:r w:rsidR="0023382E" w:rsidRPr="00FF6A91">
        <w:t>Vaclovs</w:t>
      </w:r>
      <w:proofErr w:type="spellEnd"/>
      <w:r w:rsidR="0023382E" w:rsidRPr="00FF6A91">
        <w:t xml:space="preserve"> </w:t>
      </w:r>
      <w:proofErr w:type="spellStart"/>
      <w:r w:rsidR="0023382E" w:rsidRPr="00FF6A91">
        <w:t>Kadaģis</w:t>
      </w:r>
      <w:proofErr w:type="spellEnd"/>
      <w:r w:rsidR="0023382E" w:rsidRPr="00FF6A91">
        <w:t xml:space="preserve">, Andis </w:t>
      </w:r>
      <w:proofErr w:type="spellStart"/>
      <w:r w:rsidR="0023382E" w:rsidRPr="00FF6A91">
        <w:t>Eveliņš</w:t>
      </w:r>
      <w:proofErr w:type="spellEnd"/>
      <w:r w:rsidR="0023382E" w:rsidRPr="00FF6A91">
        <w:t xml:space="preserve">, </w:t>
      </w:r>
      <w:r w:rsidR="0023382E">
        <w:t xml:space="preserve">Mārtiņš </w:t>
      </w:r>
      <w:proofErr w:type="spellStart"/>
      <w:r w:rsidR="0023382E">
        <w:t>Mikāls</w:t>
      </w:r>
      <w:proofErr w:type="spellEnd"/>
      <w:r w:rsidR="0023382E">
        <w:t>, Ainars Cīrulis,</w:t>
      </w:r>
      <w:r w:rsidR="0023382E" w:rsidRPr="00FF6A91">
        <w:t xml:space="preserve"> Arta Brauna, Tatjana Ešenvalde, </w:t>
      </w:r>
      <w:proofErr w:type="spellStart"/>
      <w:r w:rsidR="0023382E" w:rsidRPr="00FF6A91">
        <w:t>Gražina</w:t>
      </w:r>
      <w:proofErr w:type="spellEnd"/>
      <w:r w:rsidR="0023382E" w:rsidRPr="00FF6A91">
        <w:t xml:space="preserve"> </w:t>
      </w:r>
      <w:proofErr w:type="spellStart"/>
      <w:r w:rsidR="0023382E" w:rsidRPr="00FF6A91">
        <w:t>Ķervija</w:t>
      </w:r>
      <w:proofErr w:type="spellEnd"/>
      <w:r w:rsidR="0023382E" w:rsidRPr="00FF6A91">
        <w:t>,</w:t>
      </w:r>
      <w:r w:rsidR="0023382E">
        <w:t xml:space="preserve"> </w:t>
      </w:r>
      <w:proofErr w:type="spellStart"/>
      <w:r w:rsidR="0023382E" w:rsidRPr="008755BF">
        <w:t>lgonis</w:t>
      </w:r>
      <w:proofErr w:type="spellEnd"/>
      <w:r w:rsidR="0023382E" w:rsidRPr="008755BF">
        <w:t xml:space="preserve"> </w:t>
      </w:r>
      <w:proofErr w:type="spellStart"/>
      <w:r w:rsidR="0023382E" w:rsidRPr="008755BF">
        <w:t>Šteins</w:t>
      </w:r>
      <w:proofErr w:type="spellEnd"/>
      <w:r w:rsidR="0023382E" w:rsidRPr="00FF6A91">
        <w:t xml:space="preserve">); </w:t>
      </w:r>
      <w:r w:rsidR="0023382E" w:rsidRPr="00FF6A91">
        <w:rPr>
          <w:b/>
        </w:rPr>
        <w:t xml:space="preserve">PRET -  nav; ATTURAS -  </w:t>
      </w:r>
      <w:r w:rsidR="0023382E">
        <w:rPr>
          <w:b/>
        </w:rPr>
        <w:t>nav</w:t>
      </w:r>
      <w:r w:rsidR="0023382E" w:rsidRPr="00FF6A91">
        <w:rPr>
          <w:b/>
        </w:rPr>
        <w:t>;</w:t>
      </w:r>
      <w:r w:rsidR="0023382E" w:rsidRPr="00FF6A91">
        <w:t xml:space="preserve"> Priekules novada pašvaldības dome </w:t>
      </w:r>
      <w:r w:rsidR="0023382E" w:rsidRPr="00FF6A91">
        <w:rPr>
          <w:b/>
        </w:rPr>
        <w:t>NOLEMJ</w:t>
      </w:r>
      <w:r w:rsidR="0023382E" w:rsidRPr="00FF6A91">
        <w:t>:</w:t>
      </w:r>
    </w:p>
    <w:p w:rsidR="003D71FE" w:rsidRDefault="003D71FE" w:rsidP="003D71FE">
      <w:pPr>
        <w:pStyle w:val="Sarakstarindkopa"/>
        <w:numPr>
          <w:ilvl w:val="0"/>
          <w:numId w:val="1"/>
        </w:numPr>
        <w:spacing w:before="120"/>
        <w:jc w:val="both"/>
      </w:pPr>
      <w:r w:rsidRPr="00472F90">
        <w:t xml:space="preserve">Izdarīt Priekules novada </w:t>
      </w:r>
      <w:r>
        <w:t>pašvaldības</w:t>
      </w:r>
      <w:r w:rsidRPr="00472F90">
        <w:t xml:space="preserve"> amatu un amatalgu sarakstā</w:t>
      </w:r>
      <w:r>
        <w:t xml:space="preserve"> šādus grozījumus:</w:t>
      </w:r>
    </w:p>
    <w:p w:rsidR="002E5A3B" w:rsidRDefault="002E5A3B" w:rsidP="002E5A3B">
      <w:pPr>
        <w:pStyle w:val="Sarakstarindkopa"/>
        <w:numPr>
          <w:ilvl w:val="1"/>
          <w:numId w:val="1"/>
        </w:numPr>
        <w:spacing w:before="120" w:after="120"/>
        <w:jc w:val="both"/>
      </w:pPr>
      <w:r>
        <w:t>mainīt nosaukumu amatam „</w:t>
      </w:r>
      <w:r w:rsidRPr="002E5A3B">
        <w:t>Ūdenssaimniecības uzraugs (saimniecības pārzinis)</w:t>
      </w:r>
      <w:r>
        <w:t>” uz nosaukumu „Saimniecības vadītājs”, pārklasificējot amatu no „</w:t>
      </w:r>
      <w:r w:rsidRPr="002E5A3B">
        <w:t>3. Apsaimniekošana</w:t>
      </w:r>
      <w:r w:rsidR="00C5017A">
        <w:t xml:space="preserve"> (saime)</w:t>
      </w:r>
      <w:r w:rsidRPr="002E5A3B">
        <w:t>, IIA</w:t>
      </w:r>
      <w:r w:rsidR="00C5017A">
        <w:t xml:space="preserve"> (līmenis)</w:t>
      </w:r>
      <w:r w:rsidRPr="002E5A3B">
        <w:t>, 6.mēnešalgu grupa</w:t>
      </w:r>
      <w:r>
        <w:t>” uz „</w:t>
      </w:r>
      <w:r w:rsidRPr="002E5A3B">
        <w:t>3. Apsaimniekošana, IIB, 8.mēnešalgu grupa</w:t>
      </w:r>
      <w:r>
        <w:t xml:space="preserve">”, palielinot amata slodzi no 0,7 uz 1 un mēnešalgu no EUR </w:t>
      </w:r>
      <w:r w:rsidRPr="002E5A3B">
        <w:t>308,70</w:t>
      </w:r>
      <w:r>
        <w:t xml:space="preserve"> uz EUR </w:t>
      </w:r>
      <w:r w:rsidRPr="002E5A3B">
        <w:t>551,00</w:t>
      </w:r>
      <w:r>
        <w:t>;</w:t>
      </w:r>
    </w:p>
    <w:p w:rsidR="0061217B" w:rsidRDefault="0061217B" w:rsidP="002E5A3B">
      <w:pPr>
        <w:pStyle w:val="Sarakstarindkopa"/>
        <w:numPr>
          <w:ilvl w:val="1"/>
          <w:numId w:val="1"/>
        </w:numPr>
        <w:spacing w:before="120" w:after="120"/>
        <w:jc w:val="both"/>
      </w:pPr>
      <w:r>
        <w:t>svītrot no saraksta amatu „</w:t>
      </w:r>
      <w:r w:rsidR="002E5A3B">
        <w:t>Automobiļa vadītājs</w:t>
      </w:r>
      <w:r>
        <w:t>”</w:t>
      </w:r>
      <w:r w:rsidR="002E5A3B">
        <w:t>.</w:t>
      </w:r>
      <w:r>
        <w:t xml:space="preserve"> </w:t>
      </w:r>
    </w:p>
    <w:p w:rsidR="00C5017A" w:rsidRDefault="00C5017A" w:rsidP="00C5017A">
      <w:pPr>
        <w:pStyle w:val="Sarakstarindkopa"/>
        <w:numPr>
          <w:ilvl w:val="0"/>
          <w:numId w:val="1"/>
        </w:numPr>
        <w:spacing w:before="120" w:after="120"/>
        <w:jc w:val="both"/>
      </w:pPr>
      <w:r>
        <w:t>Lēmuma 1.1.punkts stājas spēkā ar 2015.gada 1.oktobri.</w:t>
      </w:r>
    </w:p>
    <w:p w:rsidR="00C5017A" w:rsidRDefault="00C5017A" w:rsidP="00C5017A">
      <w:pPr>
        <w:pStyle w:val="Sarakstarindkopa"/>
        <w:numPr>
          <w:ilvl w:val="0"/>
          <w:numId w:val="1"/>
        </w:numPr>
        <w:spacing w:before="120" w:after="120"/>
        <w:jc w:val="both"/>
      </w:pPr>
      <w:r>
        <w:t>Lēmuma 1.2.punkts stājas spēkā ar 2015.gada 1.novembri.</w:t>
      </w:r>
    </w:p>
    <w:p w:rsidR="003D71FE" w:rsidRPr="00472F90" w:rsidRDefault="003D71FE" w:rsidP="003D71FE">
      <w:pPr>
        <w:spacing w:before="120"/>
        <w:ind w:firstLine="720"/>
        <w:jc w:val="both"/>
      </w:pPr>
    </w:p>
    <w:p w:rsidR="003D71FE" w:rsidRPr="00472F90" w:rsidRDefault="003D71FE" w:rsidP="003D71FE">
      <w:pPr>
        <w:jc w:val="both"/>
      </w:pPr>
      <w:r w:rsidRPr="00472F90">
        <w:t xml:space="preserve">Pielikumā: Grozījumu Priekules novada </w:t>
      </w:r>
      <w:r>
        <w:t>pašvaldības</w:t>
      </w:r>
      <w:r w:rsidRPr="00472F90">
        <w:t xml:space="preserve"> amatu un amatalgu sarakstā projekts uz </w:t>
      </w:r>
      <w:r w:rsidR="00465748">
        <w:t>1</w:t>
      </w:r>
      <w:r w:rsidRPr="00472F90">
        <w:t>lp.</w:t>
      </w:r>
    </w:p>
    <w:p w:rsidR="00171A37" w:rsidRPr="00472F90" w:rsidRDefault="00171A37" w:rsidP="003D71FE"/>
    <w:p w:rsidR="003D71FE" w:rsidRPr="00472F90" w:rsidRDefault="0023382E" w:rsidP="003D71FE">
      <w:r>
        <w:t>Pašvaldības domes priekšsēd</w:t>
      </w:r>
      <w:r w:rsidR="00B80DDB">
        <w:t xml:space="preserve">ētāja </w:t>
      </w:r>
      <w:r w:rsidR="00B80DDB">
        <w:tab/>
      </w:r>
      <w:r w:rsidR="00B80DDB">
        <w:tab/>
      </w:r>
      <w:r w:rsidR="00B80DDB">
        <w:tab/>
      </w:r>
      <w:r w:rsidR="00B80DDB">
        <w:tab/>
      </w:r>
      <w:r>
        <w:t xml:space="preserve">                         </w:t>
      </w:r>
      <w:proofErr w:type="spellStart"/>
      <w:r>
        <w:t>V.Jablonska</w:t>
      </w:r>
      <w:proofErr w:type="spellEnd"/>
    </w:p>
    <w:p w:rsidR="003D71FE" w:rsidRPr="00472F90" w:rsidRDefault="003D71FE" w:rsidP="003D71FE"/>
    <w:p w:rsidR="003D71FE" w:rsidRPr="00472F90" w:rsidRDefault="003D71FE" w:rsidP="003D71FE">
      <w:pPr>
        <w:jc w:val="right"/>
        <w:rPr>
          <w:sz w:val="28"/>
          <w:szCs w:val="28"/>
        </w:rPr>
      </w:pPr>
    </w:p>
    <w:p w:rsidR="003D71FE" w:rsidRPr="00472F90" w:rsidRDefault="003D71FE" w:rsidP="003D71FE">
      <w:pPr>
        <w:rPr>
          <w:sz w:val="28"/>
          <w:szCs w:val="28"/>
        </w:rPr>
        <w:sectPr w:rsidR="003D71FE" w:rsidRPr="00472F90" w:rsidSect="00171A37">
          <w:pgSz w:w="11906" w:h="16838"/>
          <w:pgMar w:top="709" w:right="1134" w:bottom="1134" w:left="1701" w:header="709" w:footer="709" w:gutter="0"/>
          <w:cols w:space="708"/>
          <w:docGrid w:linePitch="360"/>
        </w:sectPr>
      </w:pPr>
    </w:p>
    <w:p w:rsidR="003D71FE" w:rsidRPr="00472F90" w:rsidRDefault="003D71FE" w:rsidP="003D71FE">
      <w:pPr>
        <w:jc w:val="right"/>
        <w:rPr>
          <w:sz w:val="28"/>
          <w:szCs w:val="28"/>
        </w:rPr>
      </w:pPr>
    </w:p>
    <w:p w:rsidR="0023382E" w:rsidRDefault="0023382E" w:rsidP="003D71FE">
      <w:pPr>
        <w:jc w:val="center"/>
        <w:rPr>
          <w:sz w:val="28"/>
          <w:szCs w:val="28"/>
        </w:rPr>
      </w:pPr>
    </w:p>
    <w:p w:rsidR="004D3309" w:rsidRPr="00EE0EDF" w:rsidRDefault="004D3309" w:rsidP="004D3309">
      <w:pPr>
        <w:shd w:val="clear" w:color="auto" w:fill="FFFFFF"/>
        <w:ind w:right="284"/>
        <w:jc w:val="right"/>
        <w:rPr>
          <w:rFonts w:eastAsia="Calibri"/>
        </w:rPr>
      </w:pPr>
      <w:r w:rsidRPr="00EE0EDF">
        <w:rPr>
          <w:rFonts w:eastAsia="Calibri"/>
        </w:rPr>
        <w:t>Pielikums</w:t>
      </w:r>
    </w:p>
    <w:p w:rsidR="004D3309" w:rsidRPr="00EE0EDF" w:rsidRDefault="004D3309" w:rsidP="004D3309">
      <w:pPr>
        <w:shd w:val="clear" w:color="auto" w:fill="FFFFFF"/>
        <w:ind w:right="284"/>
        <w:jc w:val="right"/>
        <w:rPr>
          <w:rFonts w:eastAsia="Calibri"/>
        </w:rPr>
      </w:pPr>
      <w:r w:rsidRPr="00EE0EDF">
        <w:rPr>
          <w:rFonts w:eastAsia="Calibri"/>
        </w:rPr>
        <w:t xml:space="preserve"> Priekules novada pašvaldības domes lēmumam</w:t>
      </w:r>
    </w:p>
    <w:p w:rsidR="004D3309" w:rsidRDefault="004D3309" w:rsidP="004D3309">
      <w:pPr>
        <w:shd w:val="clear" w:color="auto" w:fill="FFFFFF"/>
        <w:ind w:right="284"/>
        <w:jc w:val="right"/>
        <w:rPr>
          <w:rFonts w:eastAsia="Calibri"/>
        </w:rPr>
      </w:pPr>
      <w:r w:rsidRPr="00EE0EDF">
        <w:rPr>
          <w:rFonts w:eastAsia="Calibri"/>
        </w:rPr>
        <w:t>‘’Par</w:t>
      </w:r>
      <w:r>
        <w:rPr>
          <w:rFonts w:eastAsia="Calibri"/>
        </w:rPr>
        <w:t xml:space="preserve"> grozījumiem Priekules novada pašvaldības</w:t>
      </w:r>
    </w:p>
    <w:p w:rsidR="004D3309" w:rsidRPr="00EE0EDF" w:rsidRDefault="004D3309" w:rsidP="004D3309">
      <w:pPr>
        <w:shd w:val="clear" w:color="auto" w:fill="FFFFFF"/>
        <w:ind w:right="284"/>
        <w:jc w:val="right"/>
        <w:rPr>
          <w:rFonts w:eastAsia="Calibri"/>
        </w:rPr>
      </w:pPr>
      <w:r>
        <w:rPr>
          <w:rFonts w:eastAsia="Calibri"/>
        </w:rPr>
        <w:t>amatu un amatalgu sarakstā (prot.Nr.14,27</w:t>
      </w:r>
      <w:bookmarkStart w:id="0" w:name="_GoBack"/>
      <w:bookmarkEnd w:id="0"/>
      <w:r w:rsidRPr="00EE0EDF">
        <w:rPr>
          <w:rFonts w:eastAsia="Calibri"/>
        </w:rPr>
        <w:t>.§)</w:t>
      </w:r>
    </w:p>
    <w:p w:rsidR="00171A37" w:rsidRDefault="00171A37" w:rsidP="003D71FE">
      <w:pPr>
        <w:jc w:val="center"/>
        <w:rPr>
          <w:sz w:val="28"/>
          <w:szCs w:val="28"/>
        </w:rPr>
      </w:pPr>
    </w:p>
    <w:p w:rsidR="00171A37" w:rsidRDefault="00171A37" w:rsidP="003D71FE">
      <w:pPr>
        <w:jc w:val="center"/>
        <w:rPr>
          <w:sz w:val="28"/>
          <w:szCs w:val="28"/>
        </w:rPr>
      </w:pPr>
    </w:p>
    <w:p w:rsidR="003D71FE" w:rsidRPr="00472F90" w:rsidRDefault="003D71FE" w:rsidP="003D71FE">
      <w:pPr>
        <w:jc w:val="center"/>
        <w:rPr>
          <w:sz w:val="28"/>
          <w:szCs w:val="28"/>
        </w:rPr>
      </w:pPr>
      <w:r w:rsidRPr="00472F90">
        <w:rPr>
          <w:sz w:val="28"/>
          <w:szCs w:val="28"/>
        </w:rPr>
        <w:t xml:space="preserve">Grozījumi Priekules novada </w:t>
      </w:r>
      <w:r>
        <w:rPr>
          <w:sz w:val="28"/>
          <w:szCs w:val="28"/>
        </w:rPr>
        <w:t>pašvaldības</w:t>
      </w:r>
      <w:r w:rsidRPr="00472F90">
        <w:rPr>
          <w:sz w:val="28"/>
          <w:szCs w:val="28"/>
        </w:rPr>
        <w:t xml:space="preserve"> amatu un amatalgu sarakstā </w:t>
      </w:r>
    </w:p>
    <w:p w:rsidR="003D71FE" w:rsidRPr="00472F90" w:rsidRDefault="003D71FE" w:rsidP="003D71FE">
      <w:pPr>
        <w:rPr>
          <w:sz w:val="28"/>
          <w:szCs w:val="28"/>
        </w:rPr>
      </w:pPr>
    </w:p>
    <w:tbl>
      <w:tblPr>
        <w:tblW w:w="15467" w:type="dxa"/>
        <w:tblInd w:w="93" w:type="dxa"/>
        <w:tblLook w:val="04A0" w:firstRow="1" w:lastRow="0" w:firstColumn="1" w:lastColumn="0" w:noHBand="0" w:noVBand="1"/>
      </w:tblPr>
      <w:tblGrid>
        <w:gridCol w:w="960"/>
        <w:gridCol w:w="203"/>
        <w:gridCol w:w="3017"/>
        <w:gridCol w:w="203"/>
        <w:gridCol w:w="1115"/>
        <w:gridCol w:w="298"/>
        <w:gridCol w:w="2395"/>
        <w:gridCol w:w="1030"/>
        <w:gridCol w:w="953"/>
        <w:gridCol w:w="63"/>
        <w:gridCol w:w="883"/>
        <w:gridCol w:w="924"/>
        <w:gridCol w:w="1233"/>
        <w:gridCol w:w="896"/>
        <w:gridCol w:w="1294"/>
      </w:tblGrid>
      <w:tr w:rsidR="003D71FE" w:rsidTr="0061217B">
        <w:trPr>
          <w:trHeight w:val="315"/>
        </w:trPr>
        <w:tc>
          <w:tcPr>
            <w:tcW w:w="1163"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rPr>
            </w:pPr>
            <w:r>
              <w:rPr>
                <w:b/>
                <w:bCs/>
              </w:rPr>
              <w:t xml:space="preserve">Iestāde, </w:t>
            </w:r>
            <w:proofErr w:type="spellStart"/>
            <w:r>
              <w:rPr>
                <w:b/>
                <w:bCs/>
              </w:rPr>
              <w:t>struktūr</w:t>
            </w:r>
            <w:proofErr w:type="spellEnd"/>
            <w:r>
              <w:rPr>
                <w:b/>
                <w:bCs/>
              </w:rPr>
              <w:t>-vienība</w:t>
            </w:r>
          </w:p>
        </w:tc>
        <w:tc>
          <w:tcPr>
            <w:tcW w:w="3220" w:type="dxa"/>
            <w:gridSpan w:val="2"/>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3D71FE" w:rsidRDefault="003D71FE" w:rsidP="00E41AA6">
            <w:pPr>
              <w:jc w:val="center"/>
              <w:rPr>
                <w:b/>
                <w:bCs/>
              </w:rPr>
            </w:pPr>
            <w:r>
              <w:rPr>
                <w:b/>
                <w:bCs/>
              </w:rPr>
              <w:t>Amata nosaukums</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rPr>
            </w:pPr>
            <w:r>
              <w:rPr>
                <w:b/>
                <w:bCs/>
              </w:rPr>
              <w:t xml:space="preserve">Kods pēc profesiju </w:t>
            </w:r>
            <w:proofErr w:type="spellStart"/>
            <w:r>
              <w:rPr>
                <w:b/>
                <w:bCs/>
              </w:rPr>
              <w:t>klasifika-tora</w:t>
            </w:r>
            <w:proofErr w:type="spellEnd"/>
          </w:p>
        </w:tc>
        <w:tc>
          <w:tcPr>
            <w:tcW w:w="2395"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color w:val="000000"/>
                <w:sz w:val="22"/>
                <w:szCs w:val="22"/>
              </w:rPr>
            </w:pPr>
            <w:r>
              <w:rPr>
                <w:b/>
                <w:bCs/>
                <w:color w:val="000000"/>
                <w:sz w:val="22"/>
                <w:szCs w:val="22"/>
              </w:rPr>
              <w:t xml:space="preserve">Amata klasifikācija (saime, </w:t>
            </w:r>
            <w:proofErr w:type="spellStart"/>
            <w:r>
              <w:rPr>
                <w:b/>
                <w:bCs/>
                <w:color w:val="000000"/>
                <w:sz w:val="22"/>
                <w:szCs w:val="22"/>
              </w:rPr>
              <w:t>apakšsaime</w:t>
            </w:r>
            <w:proofErr w:type="spellEnd"/>
            <w:r>
              <w:rPr>
                <w:b/>
                <w:bCs/>
                <w:color w:val="000000"/>
                <w:sz w:val="22"/>
                <w:szCs w:val="22"/>
              </w:rPr>
              <w:t>, līmenis, mēnešalgu grupa)</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rPr>
            </w:pPr>
            <w:r>
              <w:rPr>
                <w:b/>
                <w:bCs/>
              </w:rPr>
              <w:t>Vienību skaits</w:t>
            </w:r>
          </w:p>
        </w:tc>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rPr>
            </w:pPr>
            <w:r>
              <w:rPr>
                <w:b/>
                <w:bCs/>
              </w:rPr>
              <w:t>Mēnešu skaits</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rPr>
            </w:pPr>
            <w:r>
              <w:rPr>
                <w:b/>
                <w:bCs/>
              </w:rPr>
              <w:t>Slodze</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rPr>
            </w:pPr>
            <w:r>
              <w:rPr>
                <w:b/>
                <w:bCs/>
              </w:rPr>
              <w:t>Darba stundu skaits nedēļā</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rPr>
            </w:pPr>
            <w:r>
              <w:rPr>
                <w:b/>
                <w:bCs/>
              </w:rPr>
              <w:t>Mēneša darba alga, EUR, 2015</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3D71FE" w:rsidRDefault="003D71FE" w:rsidP="00E41AA6">
            <w:pPr>
              <w:jc w:val="center"/>
              <w:rPr>
                <w:b/>
                <w:bCs/>
              </w:rPr>
            </w:pPr>
            <w:r>
              <w:rPr>
                <w:b/>
                <w:bCs/>
              </w:rPr>
              <w:t>Pilnas likme, EUR</w:t>
            </w:r>
          </w:p>
        </w:tc>
        <w:tc>
          <w:tcPr>
            <w:tcW w:w="1294"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3D71FE" w:rsidRDefault="003D71FE" w:rsidP="00E41AA6">
            <w:pPr>
              <w:jc w:val="center"/>
              <w:rPr>
                <w:b/>
                <w:bCs/>
                <w:color w:val="000000"/>
              </w:rPr>
            </w:pPr>
            <w:r>
              <w:rPr>
                <w:b/>
                <w:bCs/>
                <w:color w:val="000000"/>
              </w:rPr>
              <w:t xml:space="preserve">Piezīmes </w:t>
            </w:r>
            <w:r>
              <w:rPr>
                <w:color w:val="000000"/>
              </w:rPr>
              <w:t>(ar romiešu cipariem norādīti mēneši 2015.gadā)</w:t>
            </w:r>
          </w:p>
        </w:tc>
      </w:tr>
      <w:tr w:rsidR="003D71FE" w:rsidTr="0061217B">
        <w:trPr>
          <w:trHeight w:val="315"/>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rsidR="003D71FE" w:rsidRDefault="003D71FE" w:rsidP="00E41AA6">
            <w:pPr>
              <w:rPr>
                <w:b/>
                <w:bCs/>
                <w:color w:val="000000"/>
              </w:rPr>
            </w:pPr>
          </w:p>
        </w:tc>
      </w:tr>
      <w:tr w:rsidR="003D71FE" w:rsidTr="0061217B">
        <w:trPr>
          <w:trHeight w:val="315"/>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rsidR="003D71FE" w:rsidRDefault="003D71FE" w:rsidP="00E41AA6">
            <w:pPr>
              <w:rPr>
                <w:b/>
                <w:bCs/>
                <w:color w:val="000000"/>
              </w:rPr>
            </w:pPr>
          </w:p>
        </w:tc>
      </w:tr>
      <w:tr w:rsidR="003D71FE" w:rsidTr="0061217B">
        <w:trPr>
          <w:trHeight w:val="930"/>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D71FE" w:rsidRDefault="003D71FE" w:rsidP="00E41AA6">
            <w:pPr>
              <w:rPr>
                <w:b/>
                <w:bCs/>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rsidR="003D71FE" w:rsidRDefault="003D71FE" w:rsidP="00E41AA6">
            <w:pPr>
              <w:rPr>
                <w:b/>
                <w:bCs/>
                <w:color w:val="000000"/>
              </w:rPr>
            </w:pPr>
          </w:p>
        </w:tc>
      </w:tr>
      <w:tr w:rsidR="003D71FE" w:rsidTr="0061217B">
        <w:trPr>
          <w:trHeight w:val="322"/>
        </w:trPr>
        <w:tc>
          <w:tcPr>
            <w:tcW w:w="15467" w:type="dxa"/>
            <w:gridSpan w:val="15"/>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3D71FE" w:rsidRDefault="0061217B" w:rsidP="00E41AA6">
            <w:pPr>
              <w:rPr>
                <w:b/>
                <w:bCs/>
                <w:sz w:val="28"/>
                <w:szCs w:val="28"/>
              </w:rPr>
            </w:pPr>
            <w:r>
              <w:rPr>
                <w:b/>
                <w:bCs/>
                <w:sz w:val="28"/>
                <w:szCs w:val="28"/>
              </w:rPr>
              <w:t>VIRGAS PAGASTA PĀRVALDE</w:t>
            </w:r>
          </w:p>
        </w:tc>
      </w:tr>
      <w:tr w:rsidR="003D71FE" w:rsidTr="0061217B">
        <w:trPr>
          <w:trHeight w:val="322"/>
        </w:trPr>
        <w:tc>
          <w:tcPr>
            <w:tcW w:w="15467" w:type="dxa"/>
            <w:gridSpan w:val="15"/>
            <w:vMerge/>
            <w:tcBorders>
              <w:top w:val="single" w:sz="4" w:space="0" w:color="auto"/>
              <w:left w:val="single" w:sz="4" w:space="0" w:color="auto"/>
              <w:bottom w:val="single" w:sz="4" w:space="0" w:color="000000"/>
              <w:right w:val="single" w:sz="4" w:space="0" w:color="000000"/>
            </w:tcBorders>
            <w:vAlign w:val="center"/>
            <w:hideMark/>
          </w:tcPr>
          <w:p w:rsidR="003D71FE" w:rsidRDefault="003D71FE" w:rsidP="00E41AA6">
            <w:pPr>
              <w:rPr>
                <w:b/>
                <w:bCs/>
                <w:sz w:val="28"/>
                <w:szCs w:val="28"/>
              </w:rPr>
            </w:pPr>
          </w:p>
        </w:tc>
      </w:tr>
      <w:tr w:rsidR="0061217B" w:rsidTr="0061217B">
        <w:trPr>
          <w:trHeight w:val="605"/>
        </w:trPr>
        <w:tc>
          <w:tcPr>
            <w:tcW w:w="549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61217B" w:rsidRDefault="0061217B" w:rsidP="0061217B">
            <w:pPr>
              <w:rPr>
                <w:b/>
                <w:bCs/>
                <w:color w:val="000000"/>
              </w:rPr>
            </w:pPr>
            <w:r>
              <w:rPr>
                <w:b/>
                <w:bCs/>
                <w:color w:val="000000"/>
              </w:rPr>
              <w:t xml:space="preserve">PAŠVALDĪBAS TERITORIJU UN MĀJOKĻU APSAIMNIEKOŠANA </w:t>
            </w:r>
            <w:r>
              <w:rPr>
                <w:color w:val="000000"/>
                <w:sz w:val="20"/>
                <w:szCs w:val="20"/>
              </w:rPr>
              <w:t>(06.000)</w:t>
            </w:r>
          </w:p>
          <w:p w:rsidR="0061217B" w:rsidRPr="0089296C" w:rsidRDefault="0061217B" w:rsidP="0061217B">
            <w:pPr>
              <w:rPr>
                <w:strike/>
              </w:rPr>
            </w:pPr>
          </w:p>
        </w:tc>
        <w:tc>
          <w:tcPr>
            <w:tcW w:w="2693" w:type="dxa"/>
            <w:gridSpan w:val="2"/>
            <w:tcBorders>
              <w:top w:val="single" w:sz="4" w:space="0" w:color="auto"/>
              <w:left w:val="nil"/>
              <w:right w:val="single" w:sz="4" w:space="0" w:color="auto"/>
            </w:tcBorders>
            <w:shd w:val="clear" w:color="000000" w:fill="FFFFFF"/>
            <w:vAlign w:val="center"/>
          </w:tcPr>
          <w:p w:rsidR="0061217B" w:rsidRPr="0089296C" w:rsidRDefault="0061217B" w:rsidP="00E41AA6">
            <w:pPr>
              <w:rPr>
                <w:strike/>
                <w:color w:val="000000"/>
              </w:rPr>
            </w:pPr>
          </w:p>
        </w:tc>
        <w:tc>
          <w:tcPr>
            <w:tcW w:w="1030" w:type="dxa"/>
            <w:tcBorders>
              <w:top w:val="single" w:sz="4" w:space="0" w:color="auto"/>
              <w:left w:val="nil"/>
              <w:right w:val="single" w:sz="4" w:space="0" w:color="auto"/>
            </w:tcBorders>
            <w:shd w:val="clear" w:color="auto" w:fill="auto"/>
            <w:noWrap/>
            <w:vAlign w:val="center"/>
          </w:tcPr>
          <w:p w:rsidR="0061217B" w:rsidRPr="0089296C" w:rsidRDefault="0061217B" w:rsidP="00E41AA6">
            <w:pPr>
              <w:jc w:val="center"/>
              <w:rPr>
                <w:strike/>
              </w:rP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61217B" w:rsidRPr="0089296C" w:rsidRDefault="0061217B" w:rsidP="00E41AA6">
            <w:pPr>
              <w:jc w:val="center"/>
              <w:rPr>
                <w:strike/>
              </w:rPr>
            </w:pP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61217B" w:rsidRPr="0089296C" w:rsidRDefault="0061217B" w:rsidP="00E41AA6">
            <w:pPr>
              <w:jc w:val="center"/>
              <w:rPr>
                <w:strike/>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61217B" w:rsidRPr="0089296C" w:rsidRDefault="0061217B" w:rsidP="00E41AA6">
            <w:pPr>
              <w:jc w:val="center"/>
              <w:rPr>
                <w:strike/>
              </w:rPr>
            </w:pP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61217B" w:rsidRPr="0089296C" w:rsidRDefault="0061217B" w:rsidP="00E41AA6">
            <w:pPr>
              <w:jc w:val="center"/>
              <w:rPr>
                <w:strike/>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61217B" w:rsidRPr="00BC21B0" w:rsidRDefault="0061217B" w:rsidP="00E41AA6">
            <w:pPr>
              <w:jc w:val="center"/>
            </w:pPr>
          </w:p>
        </w:tc>
        <w:tc>
          <w:tcPr>
            <w:tcW w:w="1294" w:type="dxa"/>
            <w:tcBorders>
              <w:top w:val="single" w:sz="4" w:space="0" w:color="auto"/>
              <w:left w:val="nil"/>
              <w:bottom w:val="single" w:sz="4" w:space="0" w:color="auto"/>
              <w:right w:val="single" w:sz="4" w:space="0" w:color="auto"/>
            </w:tcBorders>
            <w:shd w:val="clear" w:color="auto" w:fill="auto"/>
            <w:vAlign w:val="center"/>
          </w:tcPr>
          <w:p w:rsidR="0061217B" w:rsidRPr="00BC21B0" w:rsidRDefault="0061217B" w:rsidP="00E41AA6">
            <w:pPr>
              <w:jc w:val="center"/>
              <w:rPr>
                <w:rFonts w:ascii="Calibri" w:hAnsi="Calibri"/>
                <w:color w:val="000000"/>
                <w:sz w:val="22"/>
                <w:szCs w:val="22"/>
              </w:rPr>
            </w:pPr>
          </w:p>
        </w:tc>
      </w:tr>
      <w:tr w:rsidR="0061217B" w:rsidTr="0061217B">
        <w:trPr>
          <w:trHeight w:val="630"/>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61217B" w:rsidRDefault="0061217B">
            <w:pPr>
              <w:jc w:val="right"/>
              <w:rPr>
                <w:sz w:val="20"/>
                <w:szCs w:val="20"/>
              </w:rPr>
            </w:pPr>
            <w:r>
              <w:rPr>
                <w:sz w:val="20"/>
                <w:szCs w:val="20"/>
              </w:rPr>
              <w:t>06.3006</w:t>
            </w:r>
          </w:p>
        </w:tc>
        <w:tc>
          <w:tcPr>
            <w:tcW w:w="3220" w:type="dxa"/>
            <w:gridSpan w:val="2"/>
            <w:tcBorders>
              <w:top w:val="single" w:sz="4" w:space="0" w:color="auto"/>
              <w:left w:val="nil"/>
              <w:bottom w:val="nil"/>
              <w:right w:val="single" w:sz="4" w:space="0" w:color="auto"/>
            </w:tcBorders>
            <w:shd w:val="clear" w:color="000000" w:fill="FFFFFF"/>
            <w:vAlign w:val="center"/>
            <w:hideMark/>
          </w:tcPr>
          <w:p w:rsidR="0061217B" w:rsidRDefault="0061217B">
            <w:r>
              <w:t>Ūdenssaimniecības uzraugs (saimniecības pārzinis)</w:t>
            </w:r>
          </w:p>
        </w:tc>
        <w:tc>
          <w:tcPr>
            <w:tcW w:w="1318" w:type="dxa"/>
            <w:gridSpan w:val="2"/>
            <w:tcBorders>
              <w:top w:val="single" w:sz="4" w:space="0" w:color="auto"/>
              <w:left w:val="nil"/>
              <w:bottom w:val="nil"/>
              <w:right w:val="single" w:sz="4" w:space="0" w:color="auto"/>
            </w:tcBorders>
            <w:shd w:val="clear" w:color="000000" w:fill="FFFFFF"/>
            <w:noWrap/>
            <w:vAlign w:val="center"/>
            <w:hideMark/>
          </w:tcPr>
          <w:p w:rsidR="0061217B" w:rsidRDefault="0061217B">
            <w:pPr>
              <w:jc w:val="center"/>
            </w:pPr>
            <w:r>
              <w:t>5151 11</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61217B" w:rsidRDefault="0061217B">
            <w:pPr>
              <w:rPr>
                <w:color w:val="000000"/>
              </w:rPr>
            </w:pPr>
            <w:r>
              <w:rPr>
                <w:color w:val="000000"/>
              </w:rPr>
              <w:t xml:space="preserve">3. Apsaimniekošana, IIA, </w:t>
            </w:r>
            <w:r>
              <w:rPr>
                <w:color w:val="000000"/>
                <w:sz w:val="20"/>
                <w:szCs w:val="20"/>
              </w:rPr>
              <w:t>6.mēnešalgu grupa</w:t>
            </w:r>
          </w:p>
        </w:tc>
        <w:tc>
          <w:tcPr>
            <w:tcW w:w="1030" w:type="dxa"/>
            <w:tcBorders>
              <w:top w:val="single" w:sz="4" w:space="0" w:color="auto"/>
              <w:left w:val="nil"/>
              <w:bottom w:val="nil"/>
              <w:right w:val="single" w:sz="4" w:space="0" w:color="auto"/>
            </w:tcBorders>
            <w:shd w:val="clear" w:color="000000" w:fill="FFFFFF"/>
            <w:noWrap/>
            <w:vAlign w:val="center"/>
            <w:hideMark/>
          </w:tcPr>
          <w:p w:rsidR="0061217B" w:rsidRDefault="0061217B">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hideMark/>
          </w:tcPr>
          <w:p w:rsidR="0061217B" w:rsidRDefault="00465748" w:rsidP="002E5A3B">
            <w:pPr>
              <w:jc w:val="center"/>
            </w:pPr>
            <w:r>
              <w:t>9</w:t>
            </w:r>
          </w:p>
        </w:tc>
        <w:tc>
          <w:tcPr>
            <w:tcW w:w="9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1217B" w:rsidRDefault="0061217B">
            <w:pPr>
              <w:jc w:val="center"/>
            </w:pPr>
            <w:r>
              <w:t>0,7</w:t>
            </w:r>
          </w:p>
        </w:tc>
        <w:tc>
          <w:tcPr>
            <w:tcW w:w="924" w:type="dxa"/>
            <w:tcBorders>
              <w:top w:val="single" w:sz="4" w:space="0" w:color="auto"/>
              <w:left w:val="nil"/>
              <w:bottom w:val="single" w:sz="4" w:space="0" w:color="auto"/>
              <w:right w:val="single" w:sz="4" w:space="0" w:color="auto"/>
            </w:tcBorders>
            <w:shd w:val="clear" w:color="000000" w:fill="FFFFFF"/>
            <w:noWrap/>
            <w:vAlign w:val="center"/>
            <w:hideMark/>
          </w:tcPr>
          <w:p w:rsidR="0061217B" w:rsidRDefault="0061217B">
            <w:pPr>
              <w:jc w:val="center"/>
            </w:pPr>
            <w:r>
              <w:t>28</w:t>
            </w:r>
          </w:p>
        </w:tc>
        <w:tc>
          <w:tcPr>
            <w:tcW w:w="1233" w:type="dxa"/>
            <w:tcBorders>
              <w:top w:val="single" w:sz="4" w:space="0" w:color="auto"/>
              <w:left w:val="nil"/>
              <w:bottom w:val="single" w:sz="4" w:space="0" w:color="auto"/>
              <w:right w:val="single" w:sz="4" w:space="0" w:color="auto"/>
            </w:tcBorders>
            <w:shd w:val="clear" w:color="000000" w:fill="E4DFEC"/>
            <w:noWrap/>
            <w:vAlign w:val="center"/>
            <w:hideMark/>
          </w:tcPr>
          <w:p w:rsidR="0061217B" w:rsidRDefault="0061217B">
            <w:pPr>
              <w:jc w:val="center"/>
            </w:pPr>
            <w:r>
              <w:t>308,70</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61217B" w:rsidRDefault="0061217B">
            <w:pPr>
              <w:jc w:val="center"/>
            </w:pPr>
            <w:r>
              <w:t>441</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61217B" w:rsidRDefault="0061217B">
            <w:pPr>
              <w:rPr>
                <w:rFonts w:ascii="Calibri" w:hAnsi="Calibri"/>
                <w:color w:val="000000"/>
                <w:sz w:val="22"/>
                <w:szCs w:val="22"/>
              </w:rPr>
            </w:pPr>
            <w:r>
              <w:rPr>
                <w:rFonts w:ascii="Calibri" w:hAnsi="Calibri"/>
                <w:color w:val="000000"/>
                <w:sz w:val="22"/>
                <w:szCs w:val="22"/>
              </w:rPr>
              <w:t>maza pārvalde</w:t>
            </w:r>
            <w:r w:rsidR="00465748">
              <w:rPr>
                <w:rFonts w:ascii="Calibri" w:hAnsi="Calibri"/>
                <w:color w:val="000000"/>
                <w:sz w:val="22"/>
                <w:szCs w:val="22"/>
              </w:rPr>
              <w:t xml:space="preserve"> (līdz IX)</w:t>
            </w:r>
          </w:p>
        </w:tc>
      </w:tr>
      <w:tr w:rsidR="0061217B" w:rsidTr="0046574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217B" w:rsidRDefault="0061217B">
            <w:pPr>
              <w:jc w:val="right"/>
              <w:rPr>
                <w:sz w:val="20"/>
                <w:szCs w:val="20"/>
              </w:rPr>
            </w:pPr>
            <w:r>
              <w:rPr>
                <w:sz w:val="20"/>
                <w:szCs w:val="20"/>
              </w:rPr>
              <w:t>06.3006</w:t>
            </w:r>
          </w:p>
        </w:tc>
        <w:tc>
          <w:tcPr>
            <w:tcW w:w="3220" w:type="dxa"/>
            <w:gridSpan w:val="2"/>
            <w:tcBorders>
              <w:top w:val="single" w:sz="4" w:space="0" w:color="auto"/>
              <w:left w:val="nil"/>
              <w:bottom w:val="single" w:sz="4" w:space="0" w:color="auto"/>
              <w:right w:val="single" w:sz="4" w:space="0" w:color="auto"/>
            </w:tcBorders>
            <w:shd w:val="clear" w:color="000000" w:fill="FFFFFF"/>
            <w:vAlign w:val="center"/>
          </w:tcPr>
          <w:p w:rsidR="0061217B" w:rsidRDefault="0061217B">
            <w:pPr>
              <w:rPr>
                <w:color w:val="000000"/>
              </w:rPr>
            </w:pPr>
            <w:r>
              <w:rPr>
                <w:color w:val="000000"/>
              </w:rPr>
              <w:t xml:space="preserve">Saimniecības vadītājs </w:t>
            </w:r>
          </w:p>
        </w:tc>
        <w:tc>
          <w:tcPr>
            <w:tcW w:w="1318" w:type="dxa"/>
            <w:gridSpan w:val="2"/>
            <w:tcBorders>
              <w:top w:val="single" w:sz="4" w:space="0" w:color="auto"/>
              <w:left w:val="nil"/>
              <w:bottom w:val="single" w:sz="4" w:space="0" w:color="auto"/>
              <w:right w:val="single" w:sz="4" w:space="0" w:color="auto"/>
            </w:tcBorders>
            <w:shd w:val="clear" w:color="000000" w:fill="FFFFFF"/>
            <w:noWrap/>
            <w:vAlign w:val="center"/>
          </w:tcPr>
          <w:p w:rsidR="0061217B" w:rsidRDefault="0061217B">
            <w:pPr>
              <w:jc w:val="center"/>
            </w:pPr>
            <w:r>
              <w:t>5151 11</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tcPr>
          <w:p w:rsidR="0061217B" w:rsidRDefault="0061217B">
            <w:r>
              <w:t xml:space="preserve">3. Apsaimniekošana, IIB, </w:t>
            </w:r>
            <w:r>
              <w:rPr>
                <w:sz w:val="20"/>
                <w:szCs w:val="20"/>
              </w:rPr>
              <w:t>8.mēnešalgu grupa</w:t>
            </w:r>
          </w:p>
        </w:tc>
        <w:tc>
          <w:tcPr>
            <w:tcW w:w="1030" w:type="dxa"/>
            <w:tcBorders>
              <w:top w:val="single" w:sz="4" w:space="0" w:color="auto"/>
              <w:left w:val="nil"/>
              <w:bottom w:val="single" w:sz="4" w:space="0" w:color="auto"/>
              <w:right w:val="single" w:sz="4" w:space="0" w:color="auto"/>
            </w:tcBorders>
            <w:shd w:val="clear" w:color="000000" w:fill="FFFFFF"/>
            <w:noWrap/>
            <w:vAlign w:val="center"/>
          </w:tcPr>
          <w:p w:rsidR="0061217B" w:rsidRDefault="002E5A3B">
            <w:pPr>
              <w:jc w:val="center"/>
            </w:pPr>
            <w: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61217B" w:rsidRDefault="00465748">
            <w:pPr>
              <w:jc w:val="center"/>
            </w:pPr>
            <w:r>
              <w:t>3</w:t>
            </w:r>
          </w:p>
        </w:tc>
        <w:tc>
          <w:tcPr>
            <w:tcW w:w="946" w:type="dxa"/>
            <w:gridSpan w:val="2"/>
            <w:tcBorders>
              <w:top w:val="single" w:sz="4" w:space="0" w:color="auto"/>
              <w:left w:val="nil"/>
              <w:bottom w:val="single" w:sz="4" w:space="0" w:color="auto"/>
              <w:right w:val="single" w:sz="4" w:space="0" w:color="auto"/>
            </w:tcBorders>
            <w:shd w:val="clear" w:color="000000" w:fill="FFFFFF"/>
            <w:noWrap/>
            <w:vAlign w:val="center"/>
          </w:tcPr>
          <w:p w:rsidR="0061217B" w:rsidRDefault="0061217B">
            <w:pPr>
              <w:jc w:val="center"/>
            </w:pPr>
            <w: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61217B" w:rsidRDefault="0061217B">
            <w:pPr>
              <w:jc w:val="center"/>
            </w:pPr>
            <w: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61217B" w:rsidRDefault="002E5A3B">
            <w:pPr>
              <w:jc w:val="center"/>
            </w:pPr>
            <w:r>
              <w:t>551,00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61217B" w:rsidRDefault="0061217B">
            <w:pPr>
              <w:jc w:val="center"/>
            </w:pPr>
          </w:p>
        </w:tc>
        <w:tc>
          <w:tcPr>
            <w:tcW w:w="1294" w:type="dxa"/>
            <w:tcBorders>
              <w:top w:val="single" w:sz="4" w:space="0" w:color="auto"/>
              <w:left w:val="nil"/>
              <w:bottom w:val="single" w:sz="4" w:space="0" w:color="auto"/>
              <w:right w:val="single" w:sz="4" w:space="0" w:color="auto"/>
            </w:tcBorders>
            <w:shd w:val="clear" w:color="000000" w:fill="FFFFFF"/>
            <w:vAlign w:val="center"/>
          </w:tcPr>
          <w:p w:rsidR="00465748" w:rsidRDefault="0061217B">
            <w:pPr>
              <w:rPr>
                <w:rFonts w:ascii="Calibri" w:hAnsi="Calibri"/>
                <w:color w:val="000000"/>
                <w:sz w:val="22"/>
                <w:szCs w:val="22"/>
              </w:rPr>
            </w:pPr>
            <w:r>
              <w:rPr>
                <w:rFonts w:ascii="Calibri" w:hAnsi="Calibri"/>
                <w:color w:val="000000"/>
                <w:sz w:val="22"/>
                <w:szCs w:val="22"/>
              </w:rPr>
              <w:t>maza pārvalde</w:t>
            </w:r>
            <w:r w:rsidR="00465748">
              <w:rPr>
                <w:rFonts w:ascii="Calibri" w:hAnsi="Calibri"/>
                <w:color w:val="000000"/>
                <w:sz w:val="22"/>
                <w:szCs w:val="22"/>
              </w:rPr>
              <w:t xml:space="preserve"> </w:t>
            </w:r>
          </w:p>
          <w:p w:rsidR="0061217B" w:rsidRDefault="00465748">
            <w:pPr>
              <w:rPr>
                <w:rFonts w:ascii="Calibri" w:hAnsi="Calibri"/>
                <w:color w:val="000000"/>
                <w:sz w:val="22"/>
                <w:szCs w:val="22"/>
              </w:rPr>
            </w:pPr>
            <w:r>
              <w:rPr>
                <w:rFonts w:ascii="Calibri" w:hAnsi="Calibri"/>
                <w:color w:val="000000"/>
                <w:sz w:val="22"/>
                <w:szCs w:val="22"/>
              </w:rPr>
              <w:t>(X-XII)</w:t>
            </w:r>
          </w:p>
        </w:tc>
      </w:tr>
      <w:tr w:rsidR="0061217B" w:rsidTr="0046574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7B" w:rsidRPr="002E5A3B" w:rsidRDefault="0061217B">
            <w:pPr>
              <w:jc w:val="right"/>
              <w:rPr>
                <w:strike/>
                <w:sz w:val="20"/>
                <w:szCs w:val="20"/>
              </w:rPr>
            </w:pPr>
            <w:r w:rsidRPr="002E5A3B">
              <w:rPr>
                <w:strike/>
                <w:sz w:val="20"/>
                <w:szCs w:val="20"/>
              </w:rPr>
              <w:t>06.6006</w:t>
            </w:r>
          </w:p>
        </w:tc>
        <w:tc>
          <w:tcPr>
            <w:tcW w:w="32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1217B" w:rsidRPr="002E5A3B" w:rsidRDefault="0061217B">
            <w:pPr>
              <w:rPr>
                <w:strike/>
              </w:rPr>
            </w:pPr>
            <w:r w:rsidRPr="002E5A3B">
              <w:rPr>
                <w:strike/>
              </w:rPr>
              <w:t>Automobiļa vadītājs</w:t>
            </w:r>
          </w:p>
        </w:tc>
        <w:tc>
          <w:tcPr>
            <w:tcW w:w="13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1217B" w:rsidRPr="002E5A3B" w:rsidRDefault="0061217B">
            <w:pPr>
              <w:jc w:val="center"/>
              <w:rPr>
                <w:strike/>
              </w:rPr>
            </w:pPr>
            <w:r w:rsidRPr="002E5A3B">
              <w:rPr>
                <w:strike/>
              </w:rPr>
              <w:t>8322 01</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61217B" w:rsidRPr="002E5A3B" w:rsidRDefault="0061217B">
            <w:pPr>
              <w:rPr>
                <w:strike/>
              </w:rPr>
            </w:pPr>
            <w:r w:rsidRPr="002E5A3B">
              <w:rPr>
                <w:strike/>
              </w:rPr>
              <w:t xml:space="preserve">41. Transporta vadīšana, II, </w:t>
            </w:r>
            <w:r w:rsidRPr="002E5A3B">
              <w:rPr>
                <w:strike/>
                <w:sz w:val="20"/>
                <w:szCs w:val="20"/>
              </w:rPr>
              <w:t>6.mēnešalgu grupa</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61217B" w:rsidRPr="002E5A3B" w:rsidRDefault="0061217B">
            <w:pPr>
              <w:jc w:val="center"/>
              <w:rPr>
                <w:strike/>
              </w:rPr>
            </w:pPr>
            <w:r w:rsidRPr="002E5A3B">
              <w:rPr>
                <w:strike/>
              </w:rPr>
              <w:t>1</w:t>
            </w:r>
          </w:p>
        </w:tc>
        <w:tc>
          <w:tcPr>
            <w:tcW w:w="953" w:type="dxa"/>
            <w:tcBorders>
              <w:top w:val="nil"/>
              <w:left w:val="nil"/>
              <w:bottom w:val="single" w:sz="4" w:space="0" w:color="auto"/>
              <w:right w:val="single" w:sz="4" w:space="0" w:color="auto"/>
            </w:tcBorders>
            <w:shd w:val="clear" w:color="000000" w:fill="FFFFFF"/>
            <w:noWrap/>
            <w:vAlign w:val="center"/>
            <w:hideMark/>
          </w:tcPr>
          <w:p w:rsidR="0061217B" w:rsidRPr="002E5A3B" w:rsidRDefault="0061217B">
            <w:pPr>
              <w:jc w:val="center"/>
              <w:rPr>
                <w:strike/>
              </w:rPr>
            </w:pPr>
            <w:r w:rsidRPr="002E5A3B">
              <w:rPr>
                <w:strike/>
              </w:rPr>
              <w:t>12</w:t>
            </w:r>
          </w:p>
        </w:tc>
        <w:tc>
          <w:tcPr>
            <w:tcW w:w="946" w:type="dxa"/>
            <w:gridSpan w:val="2"/>
            <w:tcBorders>
              <w:top w:val="nil"/>
              <w:left w:val="nil"/>
              <w:bottom w:val="single" w:sz="4" w:space="0" w:color="auto"/>
              <w:right w:val="single" w:sz="4" w:space="0" w:color="auto"/>
            </w:tcBorders>
            <w:shd w:val="clear" w:color="000000" w:fill="FFFFFF"/>
            <w:noWrap/>
            <w:vAlign w:val="center"/>
            <w:hideMark/>
          </w:tcPr>
          <w:p w:rsidR="0061217B" w:rsidRPr="002E5A3B" w:rsidRDefault="0061217B">
            <w:pPr>
              <w:jc w:val="center"/>
              <w:rPr>
                <w:strike/>
              </w:rPr>
            </w:pPr>
            <w:r w:rsidRPr="002E5A3B">
              <w:rPr>
                <w:strike/>
              </w:rPr>
              <w:t>1</w:t>
            </w:r>
          </w:p>
        </w:tc>
        <w:tc>
          <w:tcPr>
            <w:tcW w:w="924" w:type="dxa"/>
            <w:tcBorders>
              <w:top w:val="nil"/>
              <w:left w:val="nil"/>
              <w:bottom w:val="single" w:sz="4" w:space="0" w:color="auto"/>
              <w:right w:val="single" w:sz="4" w:space="0" w:color="auto"/>
            </w:tcBorders>
            <w:shd w:val="clear" w:color="000000" w:fill="FFFFFF"/>
            <w:noWrap/>
            <w:vAlign w:val="center"/>
            <w:hideMark/>
          </w:tcPr>
          <w:p w:rsidR="0061217B" w:rsidRPr="002E5A3B" w:rsidRDefault="0061217B">
            <w:pPr>
              <w:jc w:val="center"/>
              <w:rPr>
                <w:strike/>
              </w:rPr>
            </w:pPr>
            <w:r w:rsidRPr="002E5A3B">
              <w:rPr>
                <w:strike/>
              </w:rPr>
              <w:t>40</w:t>
            </w:r>
          </w:p>
        </w:tc>
        <w:tc>
          <w:tcPr>
            <w:tcW w:w="1233" w:type="dxa"/>
            <w:tcBorders>
              <w:top w:val="nil"/>
              <w:left w:val="nil"/>
              <w:bottom w:val="single" w:sz="4" w:space="0" w:color="auto"/>
              <w:right w:val="single" w:sz="4" w:space="0" w:color="auto"/>
            </w:tcBorders>
            <w:shd w:val="clear" w:color="000000" w:fill="E4DFEC"/>
            <w:noWrap/>
            <w:vAlign w:val="center"/>
            <w:hideMark/>
          </w:tcPr>
          <w:p w:rsidR="0061217B" w:rsidRPr="002E5A3B" w:rsidRDefault="0061217B">
            <w:pPr>
              <w:jc w:val="center"/>
              <w:rPr>
                <w:strike/>
              </w:rPr>
            </w:pPr>
            <w:r w:rsidRPr="002E5A3B">
              <w:rPr>
                <w:strike/>
              </w:rPr>
              <w:t>441,00</w:t>
            </w:r>
          </w:p>
        </w:tc>
        <w:tc>
          <w:tcPr>
            <w:tcW w:w="896" w:type="dxa"/>
            <w:tcBorders>
              <w:top w:val="nil"/>
              <w:left w:val="nil"/>
              <w:bottom w:val="single" w:sz="4" w:space="0" w:color="auto"/>
              <w:right w:val="single" w:sz="4" w:space="0" w:color="auto"/>
            </w:tcBorders>
            <w:shd w:val="clear" w:color="000000" w:fill="FFFFFF"/>
            <w:noWrap/>
            <w:vAlign w:val="center"/>
            <w:hideMark/>
          </w:tcPr>
          <w:p w:rsidR="0061217B" w:rsidRPr="002E5A3B" w:rsidRDefault="0061217B">
            <w:pPr>
              <w:jc w:val="center"/>
              <w:rPr>
                <w:strike/>
              </w:rPr>
            </w:pPr>
            <w:r w:rsidRPr="002E5A3B">
              <w:rPr>
                <w:strike/>
              </w:rPr>
              <w:t>441</w:t>
            </w:r>
          </w:p>
        </w:tc>
        <w:tc>
          <w:tcPr>
            <w:tcW w:w="1294" w:type="dxa"/>
            <w:tcBorders>
              <w:top w:val="nil"/>
              <w:left w:val="nil"/>
              <w:bottom w:val="single" w:sz="4" w:space="0" w:color="auto"/>
              <w:right w:val="single" w:sz="4" w:space="0" w:color="auto"/>
            </w:tcBorders>
            <w:shd w:val="clear" w:color="000000" w:fill="FFFFFF"/>
            <w:vAlign w:val="center"/>
            <w:hideMark/>
          </w:tcPr>
          <w:p w:rsidR="0061217B" w:rsidRDefault="002E5A3B">
            <w:pPr>
              <w:rPr>
                <w:rFonts w:ascii="Calibri" w:hAnsi="Calibri"/>
                <w:color w:val="000000"/>
                <w:sz w:val="22"/>
                <w:szCs w:val="22"/>
              </w:rPr>
            </w:pPr>
            <w:r>
              <w:rPr>
                <w:rFonts w:ascii="Calibri" w:hAnsi="Calibri"/>
                <w:color w:val="000000"/>
                <w:sz w:val="22"/>
                <w:szCs w:val="22"/>
              </w:rPr>
              <w:t>Amats tiek svītrots no saraksta ar 01.11.2015.</w:t>
            </w:r>
          </w:p>
        </w:tc>
      </w:tr>
    </w:tbl>
    <w:p w:rsidR="00D372F1" w:rsidRDefault="00D372F1"/>
    <w:sectPr w:rsidR="00D372F1" w:rsidSect="00DA1906">
      <w:pgSz w:w="16838" w:h="11906" w:orient="landscape"/>
      <w:pgMar w:top="53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071A3"/>
    <w:multiLevelType w:val="multilevel"/>
    <w:tmpl w:val="940ABCA6"/>
    <w:lvl w:ilvl="0">
      <w:start w:val="1"/>
      <w:numFmt w:val="decimal"/>
      <w:lvlText w:val="%1."/>
      <w:lvlJc w:val="left"/>
      <w:pPr>
        <w:ind w:left="1080" w:hanging="360"/>
      </w:pPr>
      <w:rPr>
        <w:rFonts w:hint="default"/>
      </w:rPr>
    </w:lvl>
    <w:lvl w:ilvl="1">
      <w:start w:val="1"/>
      <w:numFmt w:val="decimal"/>
      <w:isLgl/>
      <w:lvlText w:val="%1.%2."/>
      <w:lvlJc w:val="left"/>
      <w:pPr>
        <w:ind w:left="1767" w:hanging="6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FE"/>
    <w:rsid w:val="00171A37"/>
    <w:rsid w:val="0023382E"/>
    <w:rsid w:val="00233DFE"/>
    <w:rsid w:val="002E5A3B"/>
    <w:rsid w:val="003D71FE"/>
    <w:rsid w:val="00465748"/>
    <w:rsid w:val="004D3309"/>
    <w:rsid w:val="004F608F"/>
    <w:rsid w:val="0061217B"/>
    <w:rsid w:val="006D726D"/>
    <w:rsid w:val="00863E13"/>
    <w:rsid w:val="00977BBF"/>
    <w:rsid w:val="009E14CC"/>
    <w:rsid w:val="00B80DDB"/>
    <w:rsid w:val="00BC0C44"/>
    <w:rsid w:val="00C5017A"/>
    <w:rsid w:val="00D372F1"/>
    <w:rsid w:val="00D665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2ED6D686-19BF-4252-8C1B-81333BF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71F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23382E"/>
    <w:pPr>
      <w:keepNext/>
      <w:spacing w:before="240" w:after="60" w:line="276" w:lineRule="auto"/>
      <w:outlineLvl w:val="0"/>
    </w:pPr>
    <w:rPr>
      <w:rFonts w:ascii="Arial" w:eastAsia="Calibri" w:hAnsi="Arial" w:cs="Arial"/>
      <w:b/>
      <w:bCs/>
      <w:kern w:val="32"/>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71FE"/>
    <w:pPr>
      <w:ind w:left="720"/>
      <w:contextualSpacing/>
    </w:pPr>
  </w:style>
  <w:style w:type="character" w:customStyle="1" w:styleId="Virsraksts1Rakstz">
    <w:name w:val="Virsraksts 1 Rakstz."/>
    <w:basedOn w:val="Noklusjumarindkopasfonts"/>
    <w:link w:val="Virsraksts1"/>
    <w:uiPriority w:val="99"/>
    <w:rsid w:val="0023382E"/>
    <w:rPr>
      <w:rFonts w:ascii="Arial" w:eastAsia="Calibri"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2179">
      <w:bodyDiv w:val="1"/>
      <w:marLeft w:val="0"/>
      <w:marRight w:val="0"/>
      <w:marTop w:val="0"/>
      <w:marBottom w:val="0"/>
      <w:divBdr>
        <w:top w:val="none" w:sz="0" w:space="0" w:color="auto"/>
        <w:left w:val="none" w:sz="0" w:space="0" w:color="auto"/>
        <w:bottom w:val="none" w:sz="0" w:space="0" w:color="auto"/>
        <w:right w:val="none" w:sz="0" w:space="0" w:color="auto"/>
      </w:divBdr>
    </w:div>
    <w:div w:id="743113935">
      <w:bodyDiv w:val="1"/>
      <w:marLeft w:val="0"/>
      <w:marRight w:val="0"/>
      <w:marTop w:val="0"/>
      <w:marBottom w:val="0"/>
      <w:divBdr>
        <w:top w:val="none" w:sz="0" w:space="0" w:color="auto"/>
        <w:left w:val="none" w:sz="0" w:space="0" w:color="auto"/>
        <w:bottom w:val="none" w:sz="0" w:space="0" w:color="auto"/>
        <w:right w:val="none" w:sz="0" w:space="0" w:color="auto"/>
      </w:divBdr>
    </w:div>
    <w:div w:id="1395812221">
      <w:bodyDiv w:val="1"/>
      <w:marLeft w:val="0"/>
      <w:marRight w:val="0"/>
      <w:marTop w:val="0"/>
      <w:marBottom w:val="0"/>
      <w:divBdr>
        <w:top w:val="none" w:sz="0" w:space="0" w:color="auto"/>
        <w:left w:val="none" w:sz="0" w:space="0" w:color="auto"/>
        <w:bottom w:val="none" w:sz="0" w:space="0" w:color="auto"/>
        <w:right w:val="none" w:sz="0" w:space="0" w:color="auto"/>
      </w:divBdr>
    </w:div>
    <w:div w:id="17653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2167</Words>
  <Characters>1236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13</cp:revision>
  <dcterms:created xsi:type="dcterms:W3CDTF">2015-09-04T06:52:00Z</dcterms:created>
  <dcterms:modified xsi:type="dcterms:W3CDTF">2015-10-02T11:33:00Z</dcterms:modified>
</cp:coreProperties>
</file>