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32" w:rsidRDefault="00337532" w:rsidP="00337532">
      <w:pPr>
        <w:jc w:val="center"/>
        <w:rPr>
          <w:rFonts w:eastAsia="Batang"/>
        </w:rPr>
      </w:pPr>
      <w:r>
        <w:rPr>
          <w:rFonts w:eastAsia="Batang"/>
          <w:noProof/>
        </w:rPr>
        <w:drawing>
          <wp:inline distT="0" distB="0" distL="0" distR="0">
            <wp:extent cx="556260" cy="76073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760730"/>
                    </a:xfrm>
                    <a:prstGeom prst="rect">
                      <a:avLst/>
                    </a:prstGeom>
                    <a:noFill/>
                    <a:ln>
                      <a:noFill/>
                    </a:ln>
                  </pic:spPr>
                </pic:pic>
              </a:graphicData>
            </a:graphic>
          </wp:inline>
        </w:drawing>
      </w:r>
      <w:bookmarkStart w:id="0" w:name="_GoBack"/>
      <w:bookmarkEnd w:id="0"/>
    </w:p>
    <w:p w:rsidR="00337532" w:rsidRDefault="00337532" w:rsidP="00337532">
      <w:pPr>
        <w:jc w:val="center"/>
        <w:rPr>
          <w:rFonts w:eastAsia="Batang"/>
          <w:b/>
          <w:lang w:val="en-US"/>
        </w:rPr>
      </w:pPr>
      <w:r>
        <w:rPr>
          <w:rFonts w:eastAsia="Batang"/>
          <w:b/>
        </w:rPr>
        <w:t>LATVIJAS REPUBLIKA</w:t>
      </w:r>
    </w:p>
    <w:p w:rsidR="00337532" w:rsidRDefault="00337532" w:rsidP="00337532">
      <w:pPr>
        <w:pStyle w:val="Heading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337532" w:rsidRDefault="00337532" w:rsidP="00337532">
      <w:pPr>
        <w:jc w:val="center"/>
        <w:rPr>
          <w:rFonts w:eastAsia="Batang"/>
          <w:sz w:val="22"/>
          <w:szCs w:val="22"/>
          <w:lang w:val="en-US"/>
        </w:rPr>
      </w:pPr>
      <w:r>
        <w:rPr>
          <w:rFonts w:eastAsia="Batang"/>
        </w:rPr>
        <w:t xml:space="preserve">Reģistrācijas Nr. </w:t>
      </w:r>
      <w:smartTag w:uri="schemas-tilde-lv/tildestengine" w:element="phone">
        <w:smartTagPr>
          <w:attr w:name="phone_number" w:val="0031601"/>
          <w:attr w:name="phone_prefix" w:val="9000"/>
        </w:smartTagPr>
        <w:r>
          <w:rPr>
            <w:rFonts w:eastAsia="Batang"/>
          </w:rPr>
          <w:t>90000031601</w:t>
        </w:r>
      </w:smartTag>
      <w:r>
        <w:rPr>
          <w:rFonts w:eastAsia="Batang"/>
        </w:rPr>
        <w:t>, Saules iela 1, Priekule, Priekules novads, LV-3434,</w:t>
      </w:r>
    </w:p>
    <w:p w:rsidR="00337532" w:rsidRDefault="00337532" w:rsidP="00337532">
      <w:pPr>
        <w:jc w:val="center"/>
        <w:rPr>
          <w:rFonts w:eastAsia="Batang"/>
        </w:rPr>
      </w:pPr>
      <w:r>
        <w:rPr>
          <w:rFonts w:eastAsia="Batang"/>
        </w:rPr>
        <w:t xml:space="preserve"> tālrunis </w:t>
      </w:r>
      <w:smartTag w:uri="schemas-tilde-lv/tildestengine" w:element="phone">
        <w:smartTagPr>
          <w:attr w:name="phone_number" w:val="3461006"/>
          <w:attr w:name="phone_prefix" w:val="6"/>
        </w:smartTagPr>
        <w:r>
          <w:rPr>
            <w:rFonts w:eastAsia="Batang"/>
          </w:rPr>
          <w:t>63461006</w:t>
        </w:r>
      </w:smartTag>
      <w:r>
        <w:rPr>
          <w:rFonts w:eastAsia="Batang"/>
        </w:rPr>
        <w:t>, e-pasts: dome@priekulesnovads.lv</w:t>
      </w:r>
    </w:p>
    <w:p w:rsidR="00337532" w:rsidRDefault="00337532" w:rsidP="00732404">
      <w:pPr>
        <w:jc w:val="center"/>
        <w:rPr>
          <w:b/>
          <w:sz w:val="22"/>
          <w:szCs w:val="22"/>
        </w:rPr>
      </w:pPr>
      <w:r>
        <w:rPr>
          <w:b/>
        </w:rPr>
        <w:t xml:space="preserve"> </w:t>
      </w:r>
    </w:p>
    <w:p w:rsidR="00FC7D87" w:rsidRPr="007E3901" w:rsidRDefault="00FC7D87" w:rsidP="00FC7D87">
      <w:pPr>
        <w:jc w:val="right"/>
        <w:rPr>
          <w:b/>
          <w:sz w:val="22"/>
          <w:szCs w:val="22"/>
        </w:rPr>
      </w:pPr>
      <w:r w:rsidRPr="007E3901">
        <w:rPr>
          <w:b/>
          <w:sz w:val="22"/>
          <w:szCs w:val="22"/>
        </w:rPr>
        <w:t>APSTIPRINĀTI</w:t>
      </w:r>
    </w:p>
    <w:p w:rsidR="00FC7D87" w:rsidRPr="007E3901" w:rsidRDefault="00FC7D87" w:rsidP="00FC7D87">
      <w:pPr>
        <w:jc w:val="right"/>
        <w:rPr>
          <w:sz w:val="22"/>
          <w:szCs w:val="22"/>
        </w:rPr>
      </w:pPr>
      <w:r w:rsidRPr="007E3901">
        <w:rPr>
          <w:sz w:val="22"/>
          <w:szCs w:val="22"/>
        </w:rPr>
        <w:t xml:space="preserve">ar </w:t>
      </w:r>
      <w:r>
        <w:rPr>
          <w:sz w:val="22"/>
          <w:szCs w:val="22"/>
        </w:rPr>
        <w:t>Priekules</w:t>
      </w:r>
      <w:r w:rsidRPr="007E3901">
        <w:rPr>
          <w:sz w:val="22"/>
          <w:szCs w:val="22"/>
        </w:rPr>
        <w:t xml:space="preserve"> novada pašvaldības domes</w:t>
      </w:r>
    </w:p>
    <w:p w:rsidR="00337532" w:rsidRDefault="00FC7D87" w:rsidP="00FC7D87">
      <w:pPr>
        <w:jc w:val="right"/>
        <w:rPr>
          <w:sz w:val="22"/>
          <w:szCs w:val="22"/>
        </w:rPr>
      </w:pPr>
      <w:r w:rsidRPr="007E3901">
        <w:rPr>
          <w:sz w:val="22"/>
          <w:szCs w:val="22"/>
        </w:rPr>
        <w:t>20</w:t>
      </w:r>
      <w:r>
        <w:rPr>
          <w:sz w:val="22"/>
          <w:szCs w:val="22"/>
        </w:rPr>
        <w:t>18</w:t>
      </w:r>
      <w:r w:rsidRPr="007E3901">
        <w:rPr>
          <w:sz w:val="22"/>
          <w:szCs w:val="22"/>
        </w:rPr>
        <w:t xml:space="preserve">.gada </w:t>
      </w:r>
      <w:r w:rsidR="005F4A51">
        <w:rPr>
          <w:sz w:val="22"/>
          <w:szCs w:val="22"/>
        </w:rPr>
        <w:t>31</w:t>
      </w:r>
      <w:r w:rsidRPr="007E3901">
        <w:rPr>
          <w:sz w:val="22"/>
          <w:szCs w:val="22"/>
        </w:rPr>
        <w:t>.</w:t>
      </w:r>
      <w:r>
        <w:rPr>
          <w:sz w:val="22"/>
          <w:szCs w:val="22"/>
        </w:rPr>
        <w:t>maija</w:t>
      </w:r>
      <w:r w:rsidRPr="007E3901">
        <w:rPr>
          <w:sz w:val="22"/>
          <w:szCs w:val="22"/>
        </w:rPr>
        <w:t xml:space="preserve"> sēdes lēmumu</w:t>
      </w:r>
      <w:r w:rsidR="00BF1708">
        <w:rPr>
          <w:sz w:val="22"/>
          <w:szCs w:val="22"/>
        </w:rPr>
        <w:t xml:space="preserve"> Nr.245</w:t>
      </w:r>
    </w:p>
    <w:p w:rsidR="00FC7D87" w:rsidRPr="007E3901" w:rsidRDefault="00FC7D87" w:rsidP="00FC7D87">
      <w:pPr>
        <w:jc w:val="right"/>
        <w:rPr>
          <w:b/>
          <w:i/>
          <w:sz w:val="22"/>
          <w:szCs w:val="22"/>
        </w:rPr>
      </w:pPr>
      <w:r w:rsidRPr="007E3901">
        <w:rPr>
          <w:sz w:val="22"/>
          <w:szCs w:val="22"/>
        </w:rPr>
        <w:t xml:space="preserve"> (prot.Nr.</w:t>
      </w:r>
      <w:r w:rsidR="00337532">
        <w:rPr>
          <w:sz w:val="22"/>
          <w:szCs w:val="22"/>
        </w:rPr>
        <w:t>6</w:t>
      </w:r>
      <w:r w:rsidRPr="007E3901">
        <w:rPr>
          <w:sz w:val="22"/>
          <w:szCs w:val="22"/>
        </w:rPr>
        <w:t>)</w:t>
      </w:r>
    </w:p>
    <w:p w:rsidR="00FC7D87" w:rsidRDefault="00FC7D87" w:rsidP="00FC7D87">
      <w:pPr>
        <w:jc w:val="center"/>
        <w:rPr>
          <w:b/>
        </w:rPr>
      </w:pPr>
    </w:p>
    <w:p w:rsidR="00FC7D87" w:rsidRPr="007E3901" w:rsidRDefault="00FC7D87" w:rsidP="00FC7D87">
      <w:pPr>
        <w:jc w:val="center"/>
        <w:rPr>
          <w:b/>
        </w:rPr>
      </w:pPr>
      <w:r>
        <w:rPr>
          <w:b/>
        </w:rPr>
        <w:t>Priekules</w:t>
      </w:r>
      <w:r w:rsidRPr="007E3901">
        <w:rPr>
          <w:b/>
        </w:rPr>
        <w:t xml:space="preserve"> novada domes saistošie noteikumi Nr. </w:t>
      </w:r>
      <w:r w:rsidR="00300042">
        <w:rPr>
          <w:b/>
        </w:rPr>
        <w:t>8</w:t>
      </w:r>
      <w:r w:rsidR="00337532">
        <w:rPr>
          <w:b/>
        </w:rPr>
        <w:t>/18</w:t>
      </w:r>
    </w:p>
    <w:p w:rsidR="00FC7D87" w:rsidRPr="007E3901" w:rsidRDefault="00FC7D87" w:rsidP="00FC7D87">
      <w:pPr>
        <w:jc w:val="center"/>
        <w:rPr>
          <w:b/>
        </w:rPr>
      </w:pPr>
      <w:r w:rsidRPr="007E3901">
        <w:rPr>
          <w:b/>
        </w:rPr>
        <w:t>„Noteikumi par vienreiz</w:t>
      </w:r>
      <w:r w:rsidRPr="007E3901">
        <w:rPr>
          <w:rFonts w:hint="eastAsia"/>
          <w:b/>
        </w:rPr>
        <w:t>ē</w:t>
      </w:r>
      <w:r w:rsidRPr="007E3901">
        <w:rPr>
          <w:b/>
        </w:rPr>
        <w:t xml:space="preserve">ju materiālu pabalstu piešķiršanu </w:t>
      </w:r>
      <w:r w:rsidR="005300D1">
        <w:rPr>
          <w:b/>
        </w:rPr>
        <w:t>Priekules</w:t>
      </w:r>
      <w:r w:rsidRPr="007E3901">
        <w:rPr>
          <w:b/>
        </w:rPr>
        <w:t xml:space="preserve"> novadā”</w:t>
      </w:r>
    </w:p>
    <w:p w:rsidR="00FC7D87" w:rsidRDefault="00FC7D87" w:rsidP="00FC7D87">
      <w:pPr>
        <w:pStyle w:val="Default"/>
        <w:jc w:val="center"/>
      </w:pPr>
    </w:p>
    <w:p w:rsidR="00FC7D87" w:rsidRPr="007E3901" w:rsidRDefault="00FC7D87" w:rsidP="00FC7D87">
      <w:pPr>
        <w:pStyle w:val="Default"/>
        <w:jc w:val="right"/>
        <w:rPr>
          <w:i/>
          <w:sz w:val="22"/>
          <w:szCs w:val="22"/>
        </w:rPr>
      </w:pPr>
      <w:r w:rsidRPr="007E3901">
        <w:rPr>
          <w:i/>
          <w:sz w:val="22"/>
          <w:szCs w:val="22"/>
        </w:rPr>
        <w:t xml:space="preserve"> Izdoti saskaņā ar likuma </w:t>
      </w:r>
    </w:p>
    <w:p w:rsidR="00FC7D87" w:rsidRPr="007E3901" w:rsidRDefault="00FC7D87" w:rsidP="00FC7D87">
      <w:pPr>
        <w:jc w:val="right"/>
        <w:rPr>
          <w:i/>
          <w:sz w:val="22"/>
          <w:szCs w:val="22"/>
        </w:rPr>
      </w:pPr>
      <w:r w:rsidRPr="007E3901">
        <w:rPr>
          <w:i/>
          <w:sz w:val="22"/>
          <w:szCs w:val="22"/>
        </w:rPr>
        <w:t>„Par pašvaldībām” 43.panta 3.daļu</w:t>
      </w:r>
    </w:p>
    <w:p w:rsidR="00FC7D87" w:rsidRDefault="00FC7D87" w:rsidP="00FC7D87">
      <w:pPr>
        <w:pStyle w:val="Default"/>
        <w:jc w:val="right"/>
      </w:pPr>
    </w:p>
    <w:p w:rsidR="00FC7D87" w:rsidRDefault="00FC7D87" w:rsidP="00FC7D87">
      <w:pPr>
        <w:pStyle w:val="Default"/>
        <w:jc w:val="right"/>
      </w:pPr>
    </w:p>
    <w:p w:rsidR="00FC7D87" w:rsidRPr="0094070A" w:rsidRDefault="00FC7D87" w:rsidP="00FC7D87">
      <w:pPr>
        <w:pStyle w:val="Default"/>
        <w:numPr>
          <w:ilvl w:val="0"/>
          <w:numId w:val="1"/>
        </w:numPr>
        <w:jc w:val="center"/>
        <w:rPr>
          <w:b/>
          <w:bCs/>
        </w:rPr>
      </w:pPr>
      <w:r w:rsidRPr="0094070A">
        <w:rPr>
          <w:b/>
          <w:bCs/>
        </w:rPr>
        <w:t>Vispārīgie nosacījumi</w:t>
      </w:r>
    </w:p>
    <w:p w:rsidR="00FC7D87" w:rsidRPr="0094070A" w:rsidRDefault="00FC7D87" w:rsidP="00FC7D87">
      <w:pPr>
        <w:pStyle w:val="Default"/>
        <w:ind w:left="360"/>
        <w:rPr>
          <w:b/>
          <w:bCs/>
        </w:rPr>
      </w:pPr>
    </w:p>
    <w:p w:rsidR="00FC7D87" w:rsidRPr="0094070A" w:rsidRDefault="00FC7D87" w:rsidP="00FC7D87">
      <w:pPr>
        <w:pStyle w:val="Default"/>
        <w:numPr>
          <w:ilvl w:val="1"/>
          <w:numId w:val="2"/>
        </w:numPr>
        <w:tabs>
          <w:tab w:val="clear" w:pos="360"/>
          <w:tab w:val="num" w:pos="720"/>
        </w:tabs>
        <w:ind w:left="720" w:hanging="663"/>
        <w:jc w:val="both"/>
        <w:rPr>
          <w:b/>
          <w:bCs/>
        </w:rPr>
      </w:pPr>
      <w:r w:rsidRPr="0094070A">
        <w:t>Šie saistošie noteikumi nosaka kārtību, kādā piešķirami un izmaksājami pašvaldības vienreizējie pabalsti, nosaka pabalstu apmērus, pabalstu piešķiršanas un izmaksas kārtību personām, kuras ir tiesīgas saņemt šos pabalstus, kā arī lēmumu par pabalstiem apstrīdēšanas un pārsūdzēšanas kārtību.</w:t>
      </w:r>
    </w:p>
    <w:p w:rsidR="00FC7D87" w:rsidRPr="0094070A" w:rsidRDefault="00FC7D87" w:rsidP="00FC7D87">
      <w:pPr>
        <w:pStyle w:val="Default"/>
        <w:numPr>
          <w:ilvl w:val="1"/>
          <w:numId w:val="2"/>
        </w:numPr>
        <w:jc w:val="both"/>
        <w:rPr>
          <w:b/>
          <w:bCs/>
        </w:rPr>
      </w:pPr>
      <w:r w:rsidRPr="0094070A">
        <w:t>Materiālie pabalsti piešķirami neizvērtējot personas/ģimenes ienākumus.</w:t>
      </w:r>
    </w:p>
    <w:p w:rsidR="00FC7D87" w:rsidRPr="0094070A" w:rsidRDefault="00FC7D87" w:rsidP="00FC7D87">
      <w:pPr>
        <w:pStyle w:val="Default"/>
        <w:ind w:left="360"/>
        <w:jc w:val="both"/>
      </w:pPr>
    </w:p>
    <w:p w:rsidR="00FC7D87" w:rsidRPr="0094070A" w:rsidRDefault="00FC7D87" w:rsidP="00FC7D87">
      <w:pPr>
        <w:pStyle w:val="Default"/>
        <w:numPr>
          <w:ilvl w:val="0"/>
          <w:numId w:val="1"/>
        </w:numPr>
        <w:jc w:val="center"/>
        <w:rPr>
          <w:b/>
          <w:bCs/>
        </w:rPr>
      </w:pPr>
      <w:r w:rsidRPr="0094070A">
        <w:rPr>
          <w:b/>
          <w:bCs/>
        </w:rPr>
        <w:t>Pabalstu veidi un piešķiršanas kārtība</w:t>
      </w:r>
    </w:p>
    <w:p w:rsidR="00FC7D87" w:rsidRPr="00F62444" w:rsidRDefault="00FC7D87" w:rsidP="00FC7D87">
      <w:pPr>
        <w:pStyle w:val="BodyText"/>
        <w:spacing w:after="0"/>
        <w:jc w:val="both"/>
      </w:pPr>
    </w:p>
    <w:p w:rsidR="00FC7D87" w:rsidRPr="00FC7D87" w:rsidRDefault="00FC7D87" w:rsidP="00FC7D87">
      <w:pPr>
        <w:pStyle w:val="Default"/>
        <w:numPr>
          <w:ilvl w:val="1"/>
          <w:numId w:val="3"/>
        </w:numPr>
        <w:ind w:left="358" w:hanging="301"/>
        <w:jc w:val="both"/>
      </w:pPr>
      <w:r w:rsidRPr="00FC7D87">
        <w:t>Pabalsts politiski represētajām personām.</w:t>
      </w:r>
    </w:p>
    <w:p w:rsidR="00FC7D87" w:rsidRPr="00057369" w:rsidRDefault="00FC7D87" w:rsidP="00FC7D87">
      <w:pPr>
        <w:pStyle w:val="NoSpacing"/>
        <w:spacing w:after="0" w:line="240" w:lineRule="auto"/>
        <w:ind w:left="709"/>
        <w:jc w:val="both"/>
        <w:rPr>
          <w:rFonts w:ascii="Times New Roman" w:hAnsi="Times New Roman"/>
        </w:rPr>
      </w:pPr>
      <w:r>
        <w:rPr>
          <w:rFonts w:ascii="Times New Roman" w:hAnsi="Times New Roman"/>
        </w:rPr>
        <w:t>2.1</w:t>
      </w:r>
      <w:r w:rsidRPr="00057369">
        <w:rPr>
          <w:rFonts w:ascii="Times New Roman" w:hAnsi="Times New Roman"/>
        </w:rPr>
        <w:t xml:space="preserve">.1. Pabalsts tiek piešķirts </w:t>
      </w:r>
      <w:r>
        <w:rPr>
          <w:rFonts w:ascii="Times New Roman" w:hAnsi="Times New Roman"/>
        </w:rPr>
        <w:t>Priekules</w:t>
      </w:r>
      <w:r w:rsidRPr="00057369">
        <w:rPr>
          <w:rFonts w:ascii="Times New Roman" w:hAnsi="Times New Roman"/>
        </w:rPr>
        <w:t xml:space="preserve"> novada administratīvajā </w:t>
      </w:r>
      <w:r>
        <w:rPr>
          <w:rFonts w:ascii="Times New Roman" w:hAnsi="Times New Roman"/>
        </w:rPr>
        <w:t xml:space="preserve">teritorijā </w:t>
      </w:r>
      <w:r w:rsidRPr="00057369">
        <w:rPr>
          <w:rFonts w:ascii="Times New Roman" w:hAnsi="Times New Roman"/>
        </w:rPr>
        <w:t>dzīvesvietu deklarējušām un pastāvīgi dzīvojošajām personām, kurām atbilstoši valstī spēkā esošajiem normatīvajiem aktiem ir noteikts politiski represētas personas statuss.</w:t>
      </w:r>
    </w:p>
    <w:p w:rsidR="00FC7D87" w:rsidRPr="00057369" w:rsidRDefault="00FC7D87" w:rsidP="00FC7D87">
      <w:pPr>
        <w:pStyle w:val="NoSpacing"/>
        <w:spacing w:after="0" w:line="240" w:lineRule="auto"/>
        <w:ind w:left="709"/>
        <w:jc w:val="both"/>
        <w:rPr>
          <w:rFonts w:ascii="Times New Roman" w:hAnsi="Times New Roman"/>
        </w:rPr>
      </w:pPr>
      <w:r>
        <w:rPr>
          <w:rFonts w:ascii="Times New Roman" w:hAnsi="Times New Roman"/>
        </w:rPr>
        <w:t>2.2</w:t>
      </w:r>
      <w:r w:rsidRPr="00057369">
        <w:rPr>
          <w:rFonts w:ascii="Times New Roman" w:hAnsi="Times New Roman"/>
        </w:rPr>
        <w:t xml:space="preserve">.2. Pabalsts, bez ienākumu un materiālā stāvokļa izvērtēšanas, tiek piešķirts un izmaksāts vienu reizi gadā – uz </w:t>
      </w:r>
      <w:r>
        <w:rPr>
          <w:rFonts w:ascii="Times New Roman" w:hAnsi="Times New Roman"/>
        </w:rPr>
        <w:t>Komunistiskā genocīda upuru piemiņas dienu (14. jūnij</w:t>
      </w:r>
      <w:r w:rsidRPr="00057369">
        <w:rPr>
          <w:rFonts w:ascii="Times New Roman" w:hAnsi="Times New Roman"/>
        </w:rPr>
        <w:t>s).</w:t>
      </w:r>
    </w:p>
    <w:p w:rsidR="00FC7D87" w:rsidRDefault="00FC7D87" w:rsidP="00FC7D87">
      <w:pPr>
        <w:pStyle w:val="BodyText"/>
        <w:spacing w:after="0"/>
        <w:ind w:left="720"/>
        <w:jc w:val="both"/>
      </w:pPr>
      <w:r>
        <w:t xml:space="preserve">2.2.3. Pabalsta apmērs ir </w:t>
      </w:r>
      <w:r w:rsidRPr="00FC7D87">
        <w:t xml:space="preserve">EUR 20 (divdesmit </w:t>
      </w:r>
      <w:r w:rsidRPr="00FC7D87">
        <w:rPr>
          <w:i/>
        </w:rPr>
        <w:t>euro</w:t>
      </w:r>
      <w:r w:rsidRPr="00FC7D87">
        <w:t>)</w:t>
      </w:r>
      <w:r>
        <w:t xml:space="preserve"> </w:t>
      </w:r>
      <w:r w:rsidRPr="00057369">
        <w:t xml:space="preserve">un to izmaksā saņēmēja </w:t>
      </w:r>
      <w:r>
        <w:t>kredītiestādes</w:t>
      </w:r>
      <w:r w:rsidRPr="00057369">
        <w:t xml:space="preserve"> kontā vai skaidrā naudā</w:t>
      </w:r>
      <w:r>
        <w:t>.</w:t>
      </w:r>
    </w:p>
    <w:p w:rsidR="00FC7D87" w:rsidRDefault="00FC7D87" w:rsidP="00FC7D87">
      <w:pPr>
        <w:pStyle w:val="BodyText"/>
        <w:spacing w:after="0"/>
        <w:ind w:left="720"/>
        <w:jc w:val="both"/>
      </w:pPr>
    </w:p>
    <w:p w:rsidR="00FC7D87" w:rsidRPr="00FC7D87" w:rsidRDefault="00FC7D87" w:rsidP="00FC7D87">
      <w:pPr>
        <w:pStyle w:val="Default"/>
        <w:numPr>
          <w:ilvl w:val="1"/>
          <w:numId w:val="3"/>
        </w:numPr>
        <w:ind w:left="358" w:hanging="301"/>
        <w:jc w:val="both"/>
      </w:pPr>
      <w:r w:rsidRPr="00FC7D87">
        <w:t>Pabalsts Černobiļas AES avārijas seku likvidēšanas dalībniekiem.</w:t>
      </w:r>
    </w:p>
    <w:p w:rsidR="00FC7D87" w:rsidRDefault="00FC7D87" w:rsidP="00FC7D87">
      <w:pPr>
        <w:pStyle w:val="NoSpacing"/>
        <w:spacing w:after="0" w:line="240" w:lineRule="auto"/>
        <w:ind w:left="1276" w:hanging="567"/>
        <w:jc w:val="both"/>
        <w:rPr>
          <w:rFonts w:ascii="Times New Roman" w:hAnsi="Times New Roman"/>
        </w:rPr>
      </w:pPr>
      <w:r>
        <w:rPr>
          <w:rFonts w:ascii="Times New Roman" w:hAnsi="Times New Roman"/>
        </w:rPr>
        <w:t>2.2.1. Pabalsts tiek piešķirts Priekules novada administratīvajā teritorijā dzīvesvietu deklarējušām un pastāvīgi dzīvojošajām personām, kurām atbilstoši valstī spēkā esošajiem normatīvajiem aktiem ir noteikts Černobiļas AES avārijas seku likvidēšanas dalībnieka statuss.</w:t>
      </w:r>
    </w:p>
    <w:p w:rsidR="00FC7D87" w:rsidRDefault="00FC7D87" w:rsidP="00FC7D87">
      <w:pPr>
        <w:pStyle w:val="NoSpacing"/>
        <w:spacing w:after="0" w:line="240" w:lineRule="auto"/>
        <w:ind w:left="1276" w:hanging="567"/>
        <w:jc w:val="both"/>
        <w:rPr>
          <w:rFonts w:ascii="Times New Roman" w:hAnsi="Times New Roman"/>
        </w:rPr>
      </w:pPr>
      <w:r>
        <w:rPr>
          <w:rFonts w:ascii="Times New Roman" w:hAnsi="Times New Roman"/>
        </w:rPr>
        <w:t>2.2.2. Pabalsts, bez ienākumu un materiālā stāvokļa izvērtēšanas, tiek piešķirts un izmaksāts vienu reizi gadā – uz Latvijas Republikas Lāčplēša dienu (11. novembris).</w:t>
      </w:r>
    </w:p>
    <w:p w:rsidR="00FC7D87" w:rsidRDefault="00FC7D87" w:rsidP="00FC7D87">
      <w:pPr>
        <w:pStyle w:val="NoSpacing"/>
        <w:spacing w:after="0" w:line="240" w:lineRule="auto"/>
        <w:ind w:left="1276" w:hanging="567"/>
        <w:jc w:val="both"/>
        <w:rPr>
          <w:rFonts w:ascii="Times New Roman" w:hAnsi="Times New Roman"/>
        </w:rPr>
      </w:pPr>
      <w:r>
        <w:rPr>
          <w:rFonts w:ascii="Times New Roman" w:hAnsi="Times New Roman"/>
        </w:rPr>
        <w:t>2.2.3. Pabalsta apmērs ir EUR 20 (div</w:t>
      </w:r>
      <w:r w:rsidRPr="005B0CEB">
        <w:rPr>
          <w:rFonts w:ascii="Times New Roman" w:hAnsi="Times New Roman"/>
        </w:rPr>
        <w:t xml:space="preserve">desmit </w:t>
      </w:r>
      <w:r w:rsidRPr="00FC7D87">
        <w:rPr>
          <w:rFonts w:ascii="Times New Roman" w:hAnsi="Times New Roman"/>
          <w:i/>
        </w:rPr>
        <w:t>euro</w:t>
      </w:r>
      <w:r w:rsidRPr="005B0CEB">
        <w:rPr>
          <w:rFonts w:ascii="Times New Roman" w:hAnsi="Times New Roman"/>
        </w:rPr>
        <w:t xml:space="preserve">) un to izmaksā saņēmēja </w:t>
      </w:r>
      <w:r>
        <w:rPr>
          <w:rFonts w:ascii="Times New Roman" w:hAnsi="Times New Roman"/>
        </w:rPr>
        <w:t>kredītiestādes</w:t>
      </w:r>
      <w:r w:rsidRPr="005B0CEB">
        <w:rPr>
          <w:rFonts w:ascii="Times New Roman" w:hAnsi="Times New Roman"/>
        </w:rPr>
        <w:t xml:space="preserve"> kontā vai skaidrā naudā.</w:t>
      </w:r>
    </w:p>
    <w:p w:rsidR="00732404" w:rsidRDefault="00732404" w:rsidP="00FC7D87">
      <w:pPr>
        <w:pStyle w:val="NoSpacing"/>
        <w:spacing w:after="0" w:line="240" w:lineRule="auto"/>
        <w:ind w:left="1276" w:hanging="567"/>
        <w:jc w:val="both"/>
        <w:rPr>
          <w:rFonts w:ascii="Times New Roman" w:hAnsi="Times New Roman"/>
        </w:rPr>
      </w:pPr>
    </w:p>
    <w:p w:rsidR="00FC7D87" w:rsidRPr="0094070A" w:rsidRDefault="00FC7D87" w:rsidP="00FC7D87">
      <w:pPr>
        <w:pStyle w:val="Default"/>
        <w:ind w:left="57"/>
        <w:jc w:val="both"/>
      </w:pPr>
    </w:p>
    <w:p w:rsidR="00FC7D87" w:rsidRPr="0094070A" w:rsidRDefault="00FC7D87" w:rsidP="00FC7D87">
      <w:pPr>
        <w:pStyle w:val="Default"/>
        <w:numPr>
          <w:ilvl w:val="0"/>
          <w:numId w:val="1"/>
        </w:numPr>
        <w:jc w:val="center"/>
        <w:rPr>
          <w:b/>
          <w:bCs/>
        </w:rPr>
      </w:pPr>
      <w:r w:rsidRPr="0094070A">
        <w:rPr>
          <w:b/>
          <w:bCs/>
        </w:rPr>
        <w:lastRenderedPageBreak/>
        <w:t>Lēmumu apstrīdēšanas un pārsūdzēšanas kārtība</w:t>
      </w:r>
    </w:p>
    <w:p w:rsidR="00FC7D87" w:rsidRPr="0094070A" w:rsidRDefault="00FC7D87" w:rsidP="00FC7D87">
      <w:pPr>
        <w:pStyle w:val="Default"/>
        <w:tabs>
          <w:tab w:val="left" w:pos="8280"/>
        </w:tabs>
        <w:ind w:left="360"/>
        <w:rPr>
          <w:b/>
          <w:bCs/>
        </w:rPr>
      </w:pPr>
    </w:p>
    <w:p w:rsidR="005F4A51" w:rsidRPr="005F4A51" w:rsidRDefault="005F4A51" w:rsidP="00FC7D87">
      <w:pPr>
        <w:pStyle w:val="Default"/>
        <w:numPr>
          <w:ilvl w:val="1"/>
          <w:numId w:val="1"/>
        </w:numPr>
        <w:tabs>
          <w:tab w:val="clear" w:pos="1245"/>
        </w:tabs>
        <w:ind w:left="720" w:hanging="720"/>
        <w:jc w:val="both"/>
        <w:rPr>
          <w:bCs/>
        </w:rPr>
      </w:pPr>
      <w:r w:rsidRPr="005F4A51">
        <w:rPr>
          <w:bCs/>
        </w:rPr>
        <w:t>Lēmumu par pabalsta piešķiršanu pieņem finanšu komiteja</w:t>
      </w:r>
      <w:r>
        <w:rPr>
          <w:bCs/>
        </w:rPr>
        <w:t>.</w:t>
      </w:r>
    </w:p>
    <w:p w:rsidR="00FC7D87" w:rsidRPr="0094070A" w:rsidRDefault="00FC7D87" w:rsidP="00FC7D87">
      <w:pPr>
        <w:pStyle w:val="Default"/>
        <w:numPr>
          <w:ilvl w:val="1"/>
          <w:numId w:val="1"/>
        </w:numPr>
        <w:tabs>
          <w:tab w:val="clear" w:pos="1245"/>
        </w:tabs>
        <w:ind w:left="720" w:hanging="720"/>
        <w:jc w:val="both"/>
        <w:rPr>
          <w:b/>
          <w:bCs/>
        </w:rPr>
      </w:pPr>
      <w:r w:rsidRPr="0094070A">
        <w:t xml:space="preserve">Lēmums par pabalsta piešķiršanu vai atteikumu piešķirt pabalstu ir apstrīdams </w:t>
      </w:r>
      <w:r>
        <w:t>Priekules</w:t>
      </w:r>
      <w:r w:rsidRPr="0094070A">
        <w:t xml:space="preserve"> novada domē. Domes pieņemtais lēmums ir pārsūdzams Administratīvā procesa likumā noteiktā kārtībā. </w:t>
      </w:r>
    </w:p>
    <w:p w:rsidR="00FC7D87" w:rsidRPr="0094070A" w:rsidRDefault="00FC7D87" w:rsidP="00FC7D87">
      <w:pPr>
        <w:pStyle w:val="Default"/>
      </w:pPr>
    </w:p>
    <w:p w:rsidR="00FC7D87" w:rsidRDefault="00FC7D87" w:rsidP="00FC7D87">
      <w:pPr>
        <w:pStyle w:val="Default"/>
        <w:numPr>
          <w:ilvl w:val="0"/>
          <w:numId w:val="1"/>
        </w:numPr>
        <w:jc w:val="center"/>
        <w:rPr>
          <w:b/>
          <w:bCs/>
        </w:rPr>
      </w:pPr>
      <w:r w:rsidRPr="0094070A">
        <w:rPr>
          <w:b/>
          <w:bCs/>
        </w:rPr>
        <w:t xml:space="preserve"> Noslēguma </w:t>
      </w:r>
      <w:r w:rsidR="005300D1">
        <w:rPr>
          <w:b/>
          <w:bCs/>
        </w:rPr>
        <w:t>jautājums</w:t>
      </w:r>
    </w:p>
    <w:p w:rsidR="00FC7D87" w:rsidRPr="0094070A" w:rsidRDefault="00FC7D87" w:rsidP="00FC7D87">
      <w:pPr>
        <w:pStyle w:val="Default"/>
        <w:ind w:left="360"/>
        <w:rPr>
          <w:b/>
          <w:bCs/>
        </w:rPr>
      </w:pPr>
    </w:p>
    <w:p w:rsidR="00FC7D87" w:rsidRPr="0094070A" w:rsidRDefault="00FC7D87" w:rsidP="00FC7D87">
      <w:pPr>
        <w:pStyle w:val="Default"/>
        <w:numPr>
          <w:ilvl w:val="1"/>
          <w:numId w:val="1"/>
        </w:numPr>
        <w:tabs>
          <w:tab w:val="clear" w:pos="1245"/>
        </w:tabs>
        <w:ind w:left="720" w:hanging="720"/>
        <w:jc w:val="both"/>
      </w:pPr>
      <w:r w:rsidRPr="0094070A">
        <w:t xml:space="preserve">Saistošie noteikumi publicējami un stājas spēkā likuma „Par pašvaldībām” 45.pantā noteiktajā kārtībā. </w:t>
      </w:r>
    </w:p>
    <w:p w:rsidR="00FC7D87" w:rsidRPr="0094070A" w:rsidRDefault="00FC7D87" w:rsidP="00FC7D87">
      <w:pPr>
        <w:pStyle w:val="Default"/>
        <w:jc w:val="both"/>
      </w:pPr>
    </w:p>
    <w:p w:rsidR="00FC7D87" w:rsidRDefault="00FC7D87" w:rsidP="00FC7D87">
      <w:pPr>
        <w:pStyle w:val="Default"/>
        <w:jc w:val="both"/>
        <w:rPr>
          <w:sz w:val="23"/>
          <w:szCs w:val="23"/>
        </w:rPr>
      </w:pPr>
    </w:p>
    <w:p w:rsidR="007C17B5" w:rsidRDefault="00FC7D87" w:rsidP="00FC7D87">
      <w:pPr>
        <w:rPr>
          <w:color w:val="000000"/>
        </w:rPr>
      </w:pPr>
      <w:r>
        <w:rPr>
          <w:color w:val="000000"/>
        </w:rPr>
        <w:t>Priekules novada domes priekšsēdētāja</w:t>
      </w:r>
      <w:r>
        <w:rPr>
          <w:color w:val="000000"/>
        </w:rPr>
        <w:tab/>
      </w:r>
      <w:r>
        <w:rPr>
          <w:color w:val="000000"/>
        </w:rPr>
        <w:tab/>
      </w:r>
      <w:r>
        <w:rPr>
          <w:color w:val="000000"/>
        </w:rPr>
        <w:tab/>
      </w:r>
      <w:r>
        <w:rPr>
          <w:color w:val="000000"/>
        </w:rPr>
        <w:tab/>
        <w:t>V.Jablonska</w:t>
      </w: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CF015E" w:rsidRDefault="00CF015E"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732404" w:rsidRDefault="00732404" w:rsidP="00FC7D87">
      <w:pPr>
        <w:rPr>
          <w:color w:val="000000"/>
        </w:rPr>
      </w:pPr>
    </w:p>
    <w:p w:rsidR="00CF015E" w:rsidRDefault="00CF015E" w:rsidP="00FC7D87">
      <w:pPr>
        <w:rPr>
          <w:color w:val="000000"/>
        </w:rPr>
      </w:pPr>
    </w:p>
    <w:p w:rsidR="00CF015E" w:rsidRDefault="00404C0C" w:rsidP="00CF015E">
      <w:pPr>
        <w:ind w:right="26"/>
        <w:jc w:val="center"/>
        <w:rPr>
          <w:sz w:val="28"/>
        </w:rPr>
      </w:pPr>
      <w:r>
        <w:rPr>
          <w:sz w:val="28"/>
        </w:rPr>
        <w:t>Saistošo noteikumu Nr.8</w:t>
      </w:r>
      <w:r w:rsidR="00CF015E">
        <w:rPr>
          <w:sz w:val="28"/>
        </w:rPr>
        <w:t>/18</w:t>
      </w:r>
    </w:p>
    <w:p w:rsidR="00CF015E" w:rsidRDefault="00CF015E" w:rsidP="00CF015E">
      <w:pPr>
        <w:ind w:right="26"/>
        <w:jc w:val="center"/>
        <w:rPr>
          <w:b/>
        </w:rPr>
      </w:pPr>
    </w:p>
    <w:p w:rsidR="00CF015E" w:rsidRDefault="00CF015E" w:rsidP="00CF015E">
      <w:pPr>
        <w:ind w:right="26"/>
        <w:jc w:val="center"/>
        <w:rPr>
          <w:b/>
        </w:rPr>
      </w:pPr>
      <w:r>
        <w:rPr>
          <w:b/>
        </w:rPr>
        <w:t>„Noteikumi par vienreizēju materiālo pabalstu piešķiršanu Priekules novadā”</w:t>
      </w:r>
    </w:p>
    <w:p w:rsidR="00CF015E" w:rsidRDefault="00CF015E" w:rsidP="00CF015E">
      <w:pPr>
        <w:jc w:val="center"/>
        <w:rPr>
          <w:sz w:val="28"/>
        </w:rPr>
      </w:pPr>
    </w:p>
    <w:p w:rsidR="00CF015E" w:rsidRDefault="00CF015E" w:rsidP="00CF015E">
      <w:pPr>
        <w:jc w:val="center"/>
        <w:rPr>
          <w:b/>
          <w:sz w:val="28"/>
        </w:rPr>
      </w:pPr>
      <w:r>
        <w:rPr>
          <w:b/>
          <w:sz w:val="28"/>
        </w:rPr>
        <w:t>Paskaidrojuma raksts</w:t>
      </w:r>
    </w:p>
    <w:p w:rsidR="00CF015E" w:rsidRDefault="00CF015E" w:rsidP="00CF015E">
      <w:pPr>
        <w:ind w:left="2160" w:firstLine="720"/>
        <w:rPr>
          <w:b/>
          <w:bCs/>
        </w:rPr>
      </w:pPr>
    </w:p>
    <w:p w:rsidR="00CF015E" w:rsidRDefault="00CF015E" w:rsidP="00CF015E">
      <w:pPr>
        <w:ind w:left="2160" w:firstLine="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CF015E" w:rsidTr="00CF015E">
        <w:tc>
          <w:tcPr>
            <w:tcW w:w="3348" w:type="dxa"/>
            <w:tcBorders>
              <w:top w:val="single" w:sz="4" w:space="0" w:color="auto"/>
              <w:left w:val="single" w:sz="4" w:space="0" w:color="auto"/>
              <w:bottom w:val="single" w:sz="4" w:space="0" w:color="auto"/>
              <w:right w:val="single" w:sz="4" w:space="0" w:color="auto"/>
            </w:tcBorders>
            <w:hideMark/>
          </w:tcPr>
          <w:p w:rsidR="00CF015E" w:rsidRDefault="00CF015E">
            <w:pPr>
              <w:jc w:val="center"/>
              <w:rPr>
                <w:b/>
                <w:bCs/>
              </w:rPr>
            </w:pPr>
            <w:r>
              <w:rPr>
                <w:b/>
                <w:bCs/>
              </w:rPr>
              <w:t>Paskaidrojuma raksta sadaļas</w:t>
            </w: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jc w:val="center"/>
              <w:rPr>
                <w:b/>
                <w:bCs/>
              </w:rPr>
            </w:pPr>
            <w:r>
              <w:rPr>
                <w:b/>
                <w:bCs/>
              </w:rPr>
              <w:t>Norādāmā informācija</w:t>
            </w:r>
          </w:p>
        </w:tc>
      </w:tr>
      <w:tr w:rsidR="00CF015E" w:rsidTr="00CF015E">
        <w:tc>
          <w:tcPr>
            <w:tcW w:w="334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1. Projekta nepieciešamības pamatojums</w:t>
            </w: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Lai atbalstītu Priekules novadā dzīvesvietu deklarējušās politiski represētās personas un Černobiļas AES avārijas seku likvidēšanas dalībniekus.</w:t>
            </w:r>
          </w:p>
        </w:tc>
      </w:tr>
      <w:tr w:rsidR="00CF015E" w:rsidTr="00CF015E">
        <w:tc>
          <w:tcPr>
            <w:tcW w:w="334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2. Īss projekta satura izklāsts</w:t>
            </w: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Saistošie noteikumi nosaka kārtību, kādā tiek izmaksāts pabalsts politiski represētām personām un  Černobiļas AES avārijas sekas likvidējušajiem dalībniekiem.</w:t>
            </w:r>
          </w:p>
        </w:tc>
      </w:tr>
      <w:tr w:rsidR="00CF015E" w:rsidTr="00CF015E">
        <w:tc>
          <w:tcPr>
            <w:tcW w:w="3348" w:type="dxa"/>
            <w:tcBorders>
              <w:top w:val="single" w:sz="4" w:space="0" w:color="auto"/>
              <w:left w:val="single" w:sz="4" w:space="0" w:color="auto"/>
              <w:bottom w:val="single" w:sz="4" w:space="0" w:color="auto"/>
              <w:right w:val="single" w:sz="4" w:space="0" w:color="auto"/>
            </w:tcBorders>
          </w:tcPr>
          <w:p w:rsidR="00CF015E" w:rsidRDefault="00CF015E">
            <w:pPr>
              <w:rPr>
                <w:bCs/>
              </w:rPr>
            </w:pPr>
            <w:r>
              <w:rPr>
                <w:bCs/>
              </w:rPr>
              <w:t>3. Informācija par plānoto projekta ietekmi uz pašvaldības budžetu</w:t>
            </w:r>
          </w:p>
          <w:p w:rsidR="00CF015E" w:rsidRDefault="00CF015E">
            <w:pPr>
              <w:rPr>
                <w:bCs/>
              </w:rPr>
            </w:pP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rPr>
                <w:lang w:eastAsia="en-US"/>
              </w:rPr>
            </w:pPr>
            <w:r>
              <w:t xml:space="preserve">Līdzfinansējums paredzēts un apstiprināts  pašvaldības budžetā 2018.gadam. </w:t>
            </w:r>
          </w:p>
          <w:p w:rsidR="00CF015E" w:rsidRDefault="00CF015E">
            <w:pPr>
              <w:rPr>
                <w:bCs/>
              </w:rPr>
            </w:pPr>
            <w:r>
              <w:rPr>
                <w:bCs/>
              </w:rPr>
              <w:t>Saistošo noteikumu izpildes nodrošināšanai nav nepieciešams veidot jaunas pašvaldības institūcijas, darbavietas vai paplašināt esošo institūciju kompetenci.</w:t>
            </w:r>
          </w:p>
        </w:tc>
      </w:tr>
      <w:tr w:rsidR="00CF015E" w:rsidTr="00CF015E">
        <w:tc>
          <w:tcPr>
            <w:tcW w:w="334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4. Informācija par plānoto projekta ietekmi uz uzņēmējdarbības vidi pašvaldības teritorijā</w:t>
            </w: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Nav attiecināms.</w:t>
            </w:r>
          </w:p>
        </w:tc>
      </w:tr>
      <w:tr w:rsidR="00CF015E" w:rsidTr="00CF015E">
        <w:tc>
          <w:tcPr>
            <w:tcW w:w="334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5. Informācija par administratīvajām procedūrām</w:t>
            </w: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Saistošo noteikumu piemērošanu administrē pašvaldības finanšu nodaļa.</w:t>
            </w:r>
          </w:p>
        </w:tc>
      </w:tr>
      <w:tr w:rsidR="00CF015E" w:rsidTr="00CF015E">
        <w:tc>
          <w:tcPr>
            <w:tcW w:w="334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5. Informācija par konsultācijām ar privātpersonām</w:t>
            </w:r>
          </w:p>
        </w:tc>
        <w:tc>
          <w:tcPr>
            <w:tcW w:w="5508" w:type="dxa"/>
            <w:tcBorders>
              <w:top w:val="single" w:sz="4" w:space="0" w:color="auto"/>
              <w:left w:val="single" w:sz="4" w:space="0" w:color="auto"/>
              <w:bottom w:val="single" w:sz="4" w:space="0" w:color="auto"/>
              <w:right w:val="single" w:sz="4" w:space="0" w:color="auto"/>
            </w:tcBorders>
            <w:hideMark/>
          </w:tcPr>
          <w:p w:rsidR="00CF015E" w:rsidRDefault="00CF015E">
            <w:pPr>
              <w:rPr>
                <w:bCs/>
              </w:rPr>
            </w:pPr>
            <w:r>
              <w:rPr>
                <w:bCs/>
              </w:rPr>
              <w:t>Saistošo noteikumu izstrādes procesā ir notikušas konsultācijas ar amatpersonām, iedzīvotājiem, lai apzinātu personu loku, kam piešķirams vienreizējais pabalsts.</w:t>
            </w:r>
          </w:p>
        </w:tc>
      </w:tr>
    </w:tbl>
    <w:p w:rsidR="00CF015E" w:rsidRDefault="00CF015E" w:rsidP="00CF015E">
      <w:pPr>
        <w:ind w:left="2160" w:firstLine="720"/>
        <w:rPr>
          <w:b/>
          <w:bCs/>
        </w:rPr>
      </w:pPr>
    </w:p>
    <w:p w:rsidR="00CF015E" w:rsidRDefault="00CF015E" w:rsidP="00CF015E">
      <w:pPr>
        <w:ind w:left="2160" w:firstLine="720"/>
        <w:rPr>
          <w:bCs/>
        </w:rPr>
      </w:pPr>
    </w:p>
    <w:p w:rsidR="00CF015E" w:rsidRDefault="00CF015E" w:rsidP="00CF015E">
      <w:pPr>
        <w:jc w:val="both"/>
      </w:pPr>
      <w:r>
        <w:t>Pašvaldības domes priekšsēdētāja</w:t>
      </w:r>
      <w:r>
        <w:tab/>
      </w:r>
      <w:r>
        <w:tab/>
      </w:r>
      <w:r>
        <w:tab/>
      </w:r>
      <w:r>
        <w:tab/>
      </w:r>
      <w:r>
        <w:tab/>
        <w:t>V.Jablonska</w:t>
      </w:r>
    </w:p>
    <w:p w:rsidR="00CF015E" w:rsidRDefault="00CF015E" w:rsidP="00CF015E">
      <w:pPr>
        <w:rPr>
          <w:rFonts w:eastAsia="Calibri"/>
          <w:sz w:val="22"/>
          <w:szCs w:val="22"/>
          <w:lang w:eastAsia="en-US"/>
        </w:rPr>
      </w:pPr>
    </w:p>
    <w:p w:rsidR="00CF015E" w:rsidRDefault="00CF015E" w:rsidP="00CF015E">
      <w:pPr>
        <w:rPr>
          <w:rFonts w:ascii="Calibri" w:hAnsi="Calibri"/>
        </w:rPr>
      </w:pPr>
    </w:p>
    <w:p w:rsidR="00CF015E" w:rsidRDefault="00CF015E" w:rsidP="00CF015E"/>
    <w:p w:rsidR="00CF015E" w:rsidRDefault="00CF015E" w:rsidP="00FC7D87"/>
    <w:sectPr w:rsidR="00CF015E" w:rsidSect="00732404">
      <w:pgSz w:w="11906" w:h="16838"/>
      <w:pgMar w:top="1134"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BEF"/>
    <w:multiLevelType w:val="multilevel"/>
    <w:tmpl w:val="7C7042FC"/>
    <w:lvl w:ilvl="0">
      <w:start w:val="1"/>
      <w:numFmt w:val="decimal"/>
      <w:lvlText w:val="%1."/>
      <w:lvlJc w:val="right"/>
      <w:pPr>
        <w:tabs>
          <w:tab w:val="num" w:pos="360"/>
        </w:tabs>
        <w:ind w:left="360" w:hanging="72"/>
      </w:pPr>
      <w:rPr>
        <w:rFonts w:hint="default"/>
      </w:rPr>
    </w:lvl>
    <w:lvl w:ilvl="1">
      <w:start w:val="1"/>
      <w:numFmt w:val="decimal"/>
      <w:lvlText w:val="%1.%2."/>
      <w:lvlJc w:val="left"/>
      <w:pPr>
        <w:tabs>
          <w:tab w:val="num" w:pos="360"/>
        </w:tabs>
        <w:ind w:left="360" w:hanging="303"/>
      </w:pPr>
      <w:rPr>
        <w:rFonts w:hint="default"/>
        <w:b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2A70A5"/>
    <w:multiLevelType w:val="multilevel"/>
    <w:tmpl w:val="379A8588"/>
    <w:lvl w:ilvl="0">
      <w:start w:val="2"/>
      <w:numFmt w:val="decimal"/>
      <w:lvlText w:val="%1."/>
      <w:lvlJc w:val="right"/>
      <w:pPr>
        <w:tabs>
          <w:tab w:val="num" w:pos="360"/>
        </w:tabs>
        <w:ind w:left="360" w:hanging="72"/>
      </w:pPr>
      <w:rPr>
        <w:rFonts w:hint="default"/>
      </w:rPr>
    </w:lvl>
    <w:lvl w:ilvl="1">
      <w:start w:val="1"/>
      <w:numFmt w:val="decimal"/>
      <w:lvlText w:val="%1.%2."/>
      <w:lvlJc w:val="left"/>
      <w:pPr>
        <w:tabs>
          <w:tab w:val="num" w:pos="360"/>
        </w:tabs>
        <w:ind w:left="360" w:hanging="303"/>
      </w:pPr>
      <w:rPr>
        <w:rFonts w:hint="default"/>
      </w:rPr>
    </w:lvl>
    <w:lvl w:ilvl="2">
      <w:start w:val="1"/>
      <w:numFmt w:val="decimal"/>
      <w:lvlText w:val="%1.%2.%3."/>
      <w:lvlJc w:val="left"/>
      <w:pPr>
        <w:tabs>
          <w:tab w:val="num" w:pos="720"/>
        </w:tabs>
        <w:ind w:left="720" w:firstLine="17"/>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8432E9"/>
    <w:multiLevelType w:val="multilevel"/>
    <w:tmpl w:val="73062D84"/>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tabs>
          <w:tab w:val="num" w:pos="1245"/>
        </w:tabs>
        <w:ind w:left="1245" w:hanging="885"/>
      </w:pPr>
      <w:rPr>
        <w:b w:val="0"/>
        <w:sz w:val="24"/>
        <w:szCs w:val="24"/>
      </w:rPr>
    </w:lvl>
    <w:lvl w:ilvl="2">
      <w:start w:val="1"/>
      <w:numFmt w:val="decimal"/>
      <w:isLgl/>
      <w:lvlText w:val="%1.%2.%3."/>
      <w:lvlJc w:val="left"/>
      <w:pPr>
        <w:tabs>
          <w:tab w:val="num" w:pos="1245"/>
        </w:tabs>
        <w:ind w:left="1245" w:hanging="885"/>
      </w:pPr>
    </w:lvl>
    <w:lvl w:ilvl="3">
      <w:start w:val="1"/>
      <w:numFmt w:val="decimal"/>
      <w:lvlText w:val="%4."/>
      <w:lvlJc w:val="left"/>
      <w:pPr>
        <w:tabs>
          <w:tab w:val="num" w:pos="720"/>
        </w:tabs>
        <w:ind w:left="720" w:hanging="360"/>
      </w:pPr>
      <w:rPr>
        <w:rFonts w:hint="default"/>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375F047D"/>
    <w:multiLevelType w:val="multilevel"/>
    <w:tmpl w:val="B114C958"/>
    <w:lvl w:ilvl="0">
      <w:start w:val="2"/>
      <w:numFmt w:val="decimal"/>
      <w:lvlText w:val="%1."/>
      <w:lvlJc w:val="right"/>
      <w:pPr>
        <w:tabs>
          <w:tab w:val="num" w:pos="360"/>
        </w:tabs>
        <w:ind w:left="360" w:hanging="72"/>
      </w:pPr>
      <w:rPr>
        <w:rFonts w:hint="default"/>
      </w:rPr>
    </w:lvl>
    <w:lvl w:ilvl="1">
      <w:start w:val="2"/>
      <w:numFmt w:val="decimal"/>
      <w:lvlText w:val="%1.%2."/>
      <w:lvlJc w:val="left"/>
      <w:pPr>
        <w:tabs>
          <w:tab w:val="num" w:pos="360"/>
        </w:tabs>
        <w:ind w:left="360" w:hanging="303"/>
      </w:pPr>
      <w:rPr>
        <w:rFonts w:hint="default"/>
      </w:rPr>
    </w:lvl>
    <w:lvl w:ilvl="2">
      <w:start w:val="4"/>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6963B3"/>
    <w:multiLevelType w:val="multilevel"/>
    <w:tmpl w:val="F4D2E22E"/>
    <w:lvl w:ilvl="0">
      <w:start w:val="2"/>
      <w:numFmt w:val="decimal"/>
      <w:lvlText w:val="%1."/>
      <w:lvlJc w:val="right"/>
      <w:pPr>
        <w:tabs>
          <w:tab w:val="num" w:pos="360"/>
        </w:tabs>
        <w:ind w:left="360" w:hanging="72"/>
      </w:pPr>
      <w:rPr>
        <w:rFonts w:hint="default"/>
      </w:rPr>
    </w:lvl>
    <w:lvl w:ilvl="1">
      <w:start w:val="1"/>
      <w:numFmt w:val="decimal"/>
      <w:lvlText w:val="%1.%2."/>
      <w:lvlJc w:val="left"/>
      <w:pPr>
        <w:tabs>
          <w:tab w:val="num" w:pos="360"/>
        </w:tabs>
        <w:ind w:left="360" w:hanging="303"/>
      </w:pPr>
      <w:rPr>
        <w:rFonts w:hint="default"/>
        <w:b w:val="0"/>
        <w:sz w:val="24"/>
        <w:szCs w:val="24"/>
      </w:rPr>
    </w:lvl>
    <w:lvl w:ilvl="2">
      <w:start w:val="1"/>
      <w:numFmt w:val="decimal"/>
      <w:lvlText w:val="%1.%2.%3."/>
      <w:lvlJc w:val="left"/>
      <w:pPr>
        <w:tabs>
          <w:tab w:val="num" w:pos="720"/>
        </w:tabs>
        <w:ind w:left="720" w:hanging="720"/>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87"/>
    <w:rsid w:val="000B084E"/>
    <w:rsid w:val="00202B48"/>
    <w:rsid w:val="00300042"/>
    <w:rsid w:val="00337532"/>
    <w:rsid w:val="00355083"/>
    <w:rsid w:val="00404C0C"/>
    <w:rsid w:val="00421F11"/>
    <w:rsid w:val="00426B27"/>
    <w:rsid w:val="005300D1"/>
    <w:rsid w:val="005F4A51"/>
    <w:rsid w:val="00732404"/>
    <w:rsid w:val="007C17B5"/>
    <w:rsid w:val="0084524C"/>
    <w:rsid w:val="00BF1708"/>
    <w:rsid w:val="00C606B4"/>
    <w:rsid w:val="00CF015E"/>
    <w:rsid w:val="00DB6899"/>
    <w:rsid w:val="00FC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87"/>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37532"/>
    <w:pPr>
      <w:keepNext/>
      <w:jc w:val="center"/>
      <w:outlineLvl w:val="0"/>
    </w:pPr>
    <w:rPr>
      <w:rFonts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D87"/>
    <w:pPr>
      <w:autoSpaceDE w:val="0"/>
      <w:autoSpaceDN w:val="0"/>
      <w:adjustRightInd w:val="0"/>
    </w:pPr>
    <w:rPr>
      <w:rFonts w:ascii="Times New Roman" w:eastAsia="Times New Roman" w:hAnsi="Times New Roman" w:cs="Times New Roman"/>
      <w:color w:val="000000"/>
      <w:sz w:val="24"/>
      <w:szCs w:val="24"/>
      <w:lang w:eastAsia="lv-LV"/>
    </w:rPr>
  </w:style>
  <w:style w:type="paragraph" w:styleId="BodyText">
    <w:name w:val="Body Text"/>
    <w:basedOn w:val="Normal"/>
    <w:link w:val="BodyTextChar"/>
    <w:rsid w:val="00FC7D87"/>
    <w:pPr>
      <w:spacing w:after="120"/>
    </w:pPr>
  </w:style>
  <w:style w:type="character" w:customStyle="1" w:styleId="BodyTextChar">
    <w:name w:val="Body Text Char"/>
    <w:basedOn w:val="DefaultParagraphFont"/>
    <w:link w:val="BodyText"/>
    <w:rsid w:val="00FC7D87"/>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C7D87"/>
    <w:pPr>
      <w:tabs>
        <w:tab w:val="center" w:pos="4153"/>
        <w:tab w:val="right" w:pos="8306"/>
      </w:tabs>
    </w:pPr>
    <w:rPr>
      <w:sz w:val="20"/>
      <w:szCs w:val="20"/>
      <w:lang w:val="en-GB"/>
    </w:rPr>
  </w:style>
  <w:style w:type="character" w:customStyle="1" w:styleId="HeaderChar">
    <w:name w:val="Header Char"/>
    <w:basedOn w:val="DefaultParagraphFont"/>
    <w:link w:val="Header"/>
    <w:uiPriority w:val="99"/>
    <w:rsid w:val="00FC7D87"/>
    <w:rPr>
      <w:rFonts w:ascii="Times New Roman" w:eastAsia="Times New Roman" w:hAnsi="Times New Roman" w:cs="Times New Roman"/>
      <w:sz w:val="20"/>
      <w:szCs w:val="20"/>
      <w:lang w:val="en-GB" w:eastAsia="lv-LV"/>
    </w:rPr>
  </w:style>
  <w:style w:type="paragraph" w:styleId="NoSpacing">
    <w:name w:val="No Spacing"/>
    <w:basedOn w:val="Normal"/>
    <w:link w:val="NoSpacingChar"/>
    <w:uiPriority w:val="1"/>
    <w:qFormat/>
    <w:rsid w:val="00FC7D87"/>
    <w:pPr>
      <w:spacing w:after="160" w:line="256" w:lineRule="auto"/>
    </w:pPr>
    <w:rPr>
      <w:rFonts w:ascii="Palatino Linotype" w:eastAsia="Calibri" w:hAnsi="Palatino Linotype"/>
      <w:lang w:eastAsia="en-US"/>
    </w:rPr>
  </w:style>
  <w:style w:type="character" w:customStyle="1" w:styleId="NoSpacingChar">
    <w:name w:val="No Spacing Char"/>
    <w:link w:val="NoSpacing"/>
    <w:uiPriority w:val="1"/>
    <w:locked/>
    <w:rsid w:val="00FC7D87"/>
    <w:rPr>
      <w:rFonts w:ascii="Palatino Linotype" w:eastAsia="Calibri" w:hAnsi="Palatino Linotype" w:cs="Times New Roman"/>
      <w:sz w:val="24"/>
      <w:szCs w:val="24"/>
    </w:rPr>
  </w:style>
  <w:style w:type="paragraph" w:styleId="BalloonText">
    <w:name w:val="Balloon Text"/>
    <w:basedOn w:val="Normal"/>
    <w:link w:val="BalloonTextChar"/>
    <w:uiPriority w:val="99"/>
    <w:semiHidden/>
    <w:unhideWhenUsed/>
    <w:rsid w:val="00530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D1"/>
    <w:rPr>
      <w:rFonts w:ascii="Segoe UI" w:eastAsia="Times New Roman" w:hAnsi="Segoe UI" w:cs="Segoe UI"/>
      <w:sz w:val="18"/>
      <w:szCs w:val="18"/>
      <w:lang w:eastAsia="lv-LV"/>
    </w:rPr>
  </w:style>
  <w:style w:type="character" w:customStyle="1" w:styleId="Heading1Char">
    <w:name w:val="Heading 1 Char"/>
    <w:basedOn w:val="DefaultParagraphFont"/>
    <w:link w:val="Heading1"/>
    <w:rsid w:val="00337532"/>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Normal"/>
    <w:rsid w:val="000B084E"/>
    <w:pPr>
      <w:spacing w:line="240" w:lineRule="atLeast"/>
      <w:ind w:left="720"/>
      <w:contextualSpacing/>
    </w:pPr>
    <w:rPr>
      <w:rFonts w:ascii="Calibri" w:hAnsi="Calibri"/>
      <w:sz w:val="22"/>
      <w:szCs w:val="22"/>
      <w:lang w:eastAsia="en-US"/>
    </w:rPr>
  </w:style>
  <w:style w:type="paragraph" w:customStyle="1" w:styleId="listparagraph">
    <w:name w:val="listparagraph"/>
    <w:basedOn w:val="Normal"/>
    <w:semiHidden/>
    <w:rsid w:val="000B084E"/>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87"/>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37532"/>
    <w:pPr>
      <w:keepNext/>
      <w:jc w:val="center"/>
      <w:outlineLvl w:val="0"/>
    </w:pPr>
    <w:rPr>
      <w:rFonts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D87"/>
    <w:pPr>
      <w:autoSpaceDE w:val="0"/>
      <w:autoSpaceDN w:val="0"/>
      <w:adjustRightInd w:val="0"/>
    </w:pPr>
    <w:rPr>
      <w:rFonts w:ascii="Times New Roman" w:eastAsia="Times New Roman" w:hAnsi="Times New Roman" w:cs="Times New Roman"/>
      <w:color w:val="000000"/>
      <w:sz w:val="24"/>
      <w:szCs w:val="24"/>
      <w:lang w:eastAsia="lv-LV"/>
    </w:rPr>
  </w:style>
  <w:style w:type="paragraph" w:styleId="BodyText">
    <w:name w:val="Body Text"/>
    <w:basedOn w:val="Normal"/>
    <w:link w:val="BodyTextChar"/>
    <w:rsid w:val="00FC7D87"/>
    <w:pPr>
      <w:spacing w:after="120"/>
    </w:pPr>
  </w:style>
  <w:style w:type="character" w:customStyle="1" w:styleId="BodyTextChar">
    <w:name w:val="Body Text Char"/>
    <w:basedOn w:val="DefaultParagraphFont"/>
    <w:link w:val="BodyText"/>
    <w:rsid w:val="00FC7D87"/>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C7D87"/>
    <w:pPr>
      <w:tabs>
        <w:tab w:val="center" w:pos="4153"/>
        <w:tab w:val="right" w:pos="8306"/>
      </w:tabs>
    </w:pPr>
    <w:rPr>
      <w:sz w:val="20"/>
      <w:szCs w:val="20"/>
      <w:lang w:val="en-GB"/>
    </w:rPr>
  </w:style>
  <w:style w:type="character" w:customStyle="1" w:styleId="HeaderChar">
    <w:name w:val="Header Char"/>
    <w:basedOn w:val="DefaultParagraphFont"/>
    <w:link w:val="Header"/>
    <w:uiPriority w:val="99"/>
    <w:rsid w:val="00FC7D87"/>
    <w:rPr>
      <w:rFonts w:ascii="Times New Roman" w:eastAsia="Times New Roman" w:hAnsi="Times New Roman" w:cs="Times New Roman"/>
      <w:sz w:val="20"/>
      <w:szCs w:val="20"/>
      <w:lang w:val="en-GB" w:eastAsia="lv-LV"/>
    </w:rPr>
  </w:style>
  <w:style w:type="paragraph" w:styleId="NoSpacing">
    <w:name w:val="No Spacing"/>
    <w:basedOn w:val="Normal"/>
    <w:link w:val="NoSpacingChar"/>
    <w:uiPriority w:val="1"/>
    <w:qFormat/>
    <w:rsid w:val="00FC7D87"/>
    <w:pPr>
      <w:spacing w:after="160" w:line="256" w:lineRule="auto"/>
    </w:pPr>
    <w:rPr>
      <w:rFonts w:ascii="Palatino Linotype" w:eastAsia="Calibri" w:hAnsi="Palatino Linotype"/>
      <w:lang w:eastAsia="en-US"/>
    </w:rPr>
  </w:style>
  <w:style w:type="character" w:customStyle="1" w:styleId="NoSpacingChar">
    <w:name w:val="No Spacing Char"/>
    <w:link w:val="NoSpacing"/>
    <w:uiPriority w:val="1"/>
    <w:locked/>
    <w:rsid w:val="00FC7D87"/>
    <w:rPr>
      <w:rFonts w:ascii="Palatino Linotype" w:eastAsia="Calibri" w:hAnsi="Palatino Linotype" w:cs="Times New Roman"/>
      <w:sz w:val="24"/>
      <w:szCs w:val="24"/>
    </w:rPr>
  </w:style>
  <w:style w:type="paragraph" w:styleId="BalloonText">
    <w:name w:val="Balloon Text"/>
    <w:basedOn w:val="Normal"/>
    <w:link w:val="BalloonTextChar"/>
    <w:uiPriority w:val="99"/>
    <w:semiHidden/>
    <w:unhideWhenUsed/>
    <w:rsid w:val="00530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D1"/>
    <w:rPr>
      <w:rFonts w:ascii="Segoe UI" w:eastAsia="Times New Roman" w:hAnsi="Segoe UI" w:cs="Segoe UI"/>
      <w:sz w:val="18"/>
      <w:szCs w:val="18"/>
      <w:lang w:eastAsia="lv-LV"/>
    </w:rPr>
  </w:style>
  <w:style w:type="character" w:customStyle="1" w:styleId="Heading1Char">
    <w:name w:val="Heading 1 Char"/>
    <w:basedOn w:val="DefaultParagraphFont"/>
    <w:link w:val="Heading1"/>
    <w:rsid w:val="00337532"/>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Normal"/>
    <w:rsid w:val="000B084E"/>
    <w:pPr>
      <w:spacing w:line="240" w:lineRule="atLeast"/>
      <w:ind w:left="720"/>
      <w:contextualSpacing/>
    </w:pPr>
    <w:rPr>
      <w:rFonts w:ascii="Calibri" w:hAnsi="Calibri"/>
      <w:sz w:val="22"/>
      <w:szCs w:val="22"/>
      <w:lang w:eastAsia="en-US"/>
    </w:rPr>
  </w:style>
  <w:style w:type="paragraph" w:customStyle="1" w:styleId="listparagraph">
    <w:name w:val="listparagraph"/>
    <w:basedOn w:val="Normal"/>
    <w:semiHidden/>
    <w:rsid w:val="000B084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1872">
      <w:bodyDiv w:val="1"/>
      <w:marLeft w:val="0"/>
      <w:marRight w:val="0"/>
      <w:marTop w:val="0"/>
      <w:marBottom w:val="0"/>
      <w:divBdr>
        <w:top w:val="none" w:sz="0" w:space="0" w:color="auto"/>
        <w:left w:val="none" w:sz="0" w:space="0" w:color="auto"/>
        <w:bottom w:val="none" w:sz="0" w:space="0" w:color="auto"/>
        <w:right w:val="none" w:sz="0" w:space="0" w:color="auto"/>
      </w:divBdr>
    </w:div>
    <w:div w:id="1330330696">
      <w:bodyDiv w:val="1"/>
      <w:marLeft w:val="0"/>
      <w:marRight w:val="0"/>
      <w:marTop w:val="0"/>
      <w:marBottom w:val="0"/>
      <w:divBdr>
        <w:top w:val="none" w:sz="0" w:space="0" w:color="auto"/>
        <w:left w:val="none" w:sz="0" w:space="0" w:color="auto"/>
        <w:bottom w:val="none" w:sz="0" w:space="0" w:color="auto"/>
        <w:right w:val="none" w:sz="0" w:space="0" w:color="auto"/>
      </w:divBdr>
    </w:div>
    <w:div w:id="1622689813">
      <w:bodyDiv w:val="1"/>
      <w:marLeft w:val="0"/>
      <w:marRight w:val="0"/>
      <w:marTop w:val="0"/>
      <w:marBottom w:val="0"/>
      <w:divBdr>
        <w:top w:val="none" w:sz="0" w:space="0" w:color="auto"/>
        <w:left w:val="none" w:sz="0" w:space="0" w:color="auto"/>
        <w:bottom w:val="none" w:sz="0" w:space="0" w:color="auto"/>
        <w:right w:val="none" w:sz="0" w:space="0" w:color="auto"/>
      </w:divBdr>
    </w:div>
    <w:div w:id="20467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2536</Words>
  <Characters>1447</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2018-06-05T11:47:00Z</cp:lastPrinted>
  <dcterms:created xsi:type="dcterms:W3CDTF">2018-06-11T17:25:00Z</dcterms:created>
  <dcterms:modified xsi:type="dcterms:W3CDTF">2018-06-11T17:25:00Z</dcterms:modified>
</cp:coreProperties>
</file>